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CBBB7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77C4FC4E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21C6B36B">
      <w:pPr>
        <w:spacing/>
        <w:ind w:right="-567"/>
        <w:rPr>
          <w:rFonts w:eastAsia="Calibri"/>
          <w:lang w:val="hr-HR"/>
        </w:rPr>
      </w:pPr>
      <w:bookmarkStart w:id="2" w:name="_Hlk138933986"/>
      <w:r>
        <w:rPr>
          <w:rFonts w:eastAsia="Calibri"/>
          <w:lang w:val="hr-HR"/>
        </w:rPr>
        <w:t xml:space="preserve">KLASA:       </w:t>
      </w:r>
      <w:r>
        <w:rPr>
          <w:rFonts w:eastAsia="Calibri"/>
          <w:color w:val="000000"/>
          <w:lang w:val="hr-HR" w:eastAsia="hr-HR"/>
        </w:rPr>
        <w:t xml:space="preserve">400-02/24-01/20</w:t>
      </w:r>
      <w:r>
        <w:rPr>
          <w:rFonts w:eastAsia="Calibri"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5EDDDFD1">
      <w:pPr>
        <w:spacing w:after="211" w:line="268" w:lineRule="auto"/>
        <w:ind w:left="10" w:hanging="10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URBROJ:     </w:t>
      </w:r>
      <w:r>
        <w:rPr>
          <w:rFonts w:eastAsia="Calibri"/>
          <w:lang w:val="hr-HR"/>
        </w:rPr>
        <w:t xml:space="preserve">2158-46-24-1</w:t>
      </w:r>
      <w:r>
        <w:rPr>
          <w:rFonts w:eastAsia="Calibri"/>
          <w:lang w:val="hr-HR"/>
        </w:rPr>
        <w:t xml:space="preserve">                                              </w:t>
      </w:r>
    </w:p>
    <w:p w14:paraId="00E04DDD">
      <w:pPr>
        <w:spacing/>
        <w:rPr>
          <w:lang w:val="hr-HR" w:eastAsia="hr-HR"/>
        </w:rPr>
      </w:pPr>
      <w:r>
        <w:rPr>
          <w:rFonts w:eastAsia="Calibri"/>
          <w:lang w:val="hr-HR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779B39F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7070CC6C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0AFAEF2A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7769CB69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10FF3DF0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57B5DA0D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767AFC9C">
      <w:pPr>
        <w:spacing/>
        <w:jc w:val="both"/>
        <w:rPr>
          <w:rFonts w:ascii="Arial" w:hAnsi="Arial" w:eastAsia="Calibri" w:cs="Arial"/>
          <w:b/>
          <w:bCs/>
          <w:sz w:val="20"/>
          <w:szCs w:val="20"/>
        </w:rPr>
      </w:pPr>
    </w:p>
    <w:p w14:paraId="6739EF58">
      <w:pPr>
        <w: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II</w:t>
      </w:r>
      <w:r>
        <w:rPr>
          <w:rFonts w:ascii="Arial" w:hAnsi="Arial" w:cs="Arial"/>
          <w:b/>
          <w:sz w:val="28"/>
          <w:szCs w:val="28"/>
        </w:rPr>
        <w:t xml:space="preserve">. REBALANS </w:t>
      </w:r>
    </w:p>
    <w:p w14:paraId="349FFAC8">
      <w:pPr>
        <w: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FINANCIJSKOG PLANA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ZA 2024. GODINU</w:t>
      </w:r>
    </w:p>
    <w:p w14:paraId="78648F23">
      <w:pPr>
        <w:spacing/>
        <w:rPr>
          <w:rFonts w:ascii="Calibri Light" w:hAnsi="Calibri Light" w:eastAsia="Calibri" w:cs="Calibri Light"/>
        </w:rPr>
      </w:pPr>
    </w:p>
    <w:p w14:paraId="44D432AB">
      <w:pPr>
        <w:spacing/>
        <w:rPr>
          <w:rFonts w:ascii="Calibri Light" w:hAnsi="Calibri Light" w:eastAsia="Calibri" w:cs="Calibri Light"/>
        </w:rPr>
      </w:pPr>
    </w:p>
    <w:p w14:paraId="1BA894D4">
      <w:pPr>
        <w:spacing/>
        <w:rPr>
          <w:rFonts w:ascii="Calibri Light" w:hAnsi="Calibri Light" w:eastAsia="Calibri" w:cs="Calibri Light"/>
        </w:rPr>
      </w:pPr>
    </w:p>
    <w:p w14:paraId="2D62402A">
      <w:pPr>
        <w:spacing/>
        <w:ind w:left="851"/>
        <w:rPr>
          <w:rFonts w:ascii="Calibri Light" w:hAnsi="Calibri Light" w:eastAsia="Calibri" w:cs="Calibri Light"/>
        </w:rPr>
      </w:pPr>
    </w:p>
    <w:p w14:paraId="2D44591C">
      <w:pPr>
        <w:spacing/>
        <w:rPr>
          <w:rFonts w:ascii="Calibri Light" w:hAnsi="Calibri Light" w:eastAsia="Calibri" w:cs="Calibri Light"/>
        </w:rPr>
      </w:pPr>
    </w:p>
    <w:p w14:paraId="321B5672">
      <w:pPr>
        <w:spacing/>
        <w:rPr>
          <w:rFonts w:ascii="Calibri Light" w:hAnsi="Calibri Light" w:eastAsia="Calibri" w:cs="Calibri Light"/>
        </w:rPr>
      </w:pPr>
    </w:p>
    <w:p w14:paraId="7CF14C11">
      <w:pPr>
        <w:spacing/>
        <w:rPr>
          <w:rFonts w:ascii="Calibri Light" w:hAnsi="Calibri Light" w:eastAsia="Calibri" w:cs="Calibri Light"/>
        </w:rPr>
      </w:pPr>
      <w:bookmarkStart w:id="3" w:name="_GoBack"/>
      <w:bookmarkEnd w:id="3"/>
    </w:p>
    <w:p w14:paraId="2FE05A4B">
      <w:pPr>
        <w:spacing/>
        <w:rPr>
          <w:rFonts w:ascii="Calibri Light" w:hAnsi="Calibri Light" w:eastAsia="Calibri" w:cs="Calibri Light"/>
        </w:rPr>
      </w:pPr>
    </w:p>
    <w:p w14:paraId="62C545D7">
      <w:pPr>
        <w:spacing/>
        <w:rPr>
          <w:rFonts w:ascii="Calibri Light" w:hAnsi="Calibri Light" w:eastAsia="Calibri" w:cs="Calibri Light"/>
        </w:rPr>
      </w:pPr>
    </w:p>
    <w:p w14:paraId="581B21E0">
      <w:pPr>
        <w:spacing/>
        <w:rPr>
          <w:rFonts w:ascii="Calibri Light" w:hAnsi="Calibri Light" w:eastAsia="Calibri" w:cs="Calibri Light"/>
        </w:rPr>
      </w:pPr>
    </w:p>
    <w:p w14:paraId="35F32FD2">
      <w:pPr>
        <w:spacing/>
        <w:rPr>
          <w:rFonts w:ascii="Calibri Light" w:hAnsi="Calibri Light" w:eastAsia="Calibri" w:cs="Calibri Light"/>
        </w:rPr>
      </w:pPr>
    </w:p>
    <w:p w14:paraId="2EAA1F20">
      <w:pPr>
        <w:spacing/>
        <w:rPr>
          <w:rFonts w:ascii="Calibri Light" w:hAnsi="Calibri Light" w:eastAsia="Calibri" w:cs="Calibri Light"/>
          <w:sz w:val="20"/>
          <w:szCs w:val="20"/>
        </w:rPr>
      </w:pPr>
    </w:p>
    <w:p w14:paraId="4F78DB80">
      <w:pPr>
        <w:spacing/>
        <w:jc w:val="right"/>
        <w:rPr>
          <w:rFonts w:ascii="Arial" w:hAnsi="Arial" w:eastAsia="Calibri" w:cs="Arial"/>
          <w:sz w:val="20"/>
          <w:szCs w:val="20"/>
        </w:rPr>
      </w:pPr>
      <w:r>
        <w:rPr>
          <w:rFonts w:ascii="Calibri Light" w:hAnsi="Calibri Light" w:eastAsia="Calibri" w:cs="Calibri Light"/>
          <w:sz w:val="20"/>
          <w:szCs w:val="20"/>
        </w:rPr>
        <w:tab/>
        <w:t xml:space="preserve"/>
      </w:r>
      <w:r>
        <w:rPr>
          <w:rFonts w:ascii="Calibri Light" w:hAnsi="Calibri Light" w:eastAsia="Calibri" w:cs="Calibri Light"/>
          <w:sz w:val="20"/>
          <w:szCs w:val="20"/>
        </w:rPr>
        <w:tab/>
        <w:t xml:space="preserve"/>
      </w:r>
      <w:r>
        <w:rPr>
          <w:rFonts w:ascii="Calibri Light" w:hAnsi="Calibri Light" w:eastAsia="Calibri" w:cs="Calibri Light"/>
          <w:sz w:val="20"/>
          <w:szCs w:val="20"/>
        </w:rPr>
        <w:tab/>
        <w:t xml:space="preserve"/>
      </w:r>
      <w:r>
        <w:rPr>
          <w:rFonts w:ascii="Calibri Light" w:hAnsi="Calibri Light" w:eastAsia="Calibri" w:cs="Calibri Light"/>
          <w:sz w:val="20"/>
          <w:szCs w:val="20"/>
        </w:rPr>
        <w:tab/>
        <w:t xml:space="preserve"/>
      </w:r>
      <w:r>
        <w:rPr>
          <w:rFonts w:ascii="Calibri Light" w:hAnsi="Calibri Light" w:eastAsia="Calibri" w:cs="Calibri Light"/>
          <w:sz w:val="20"/>
          <w:szCs w:val="20"/>
        </w:rPr>
        <w:tab/>
        <w:t xml:space="preserve"/>
      </w:r>
      <w:r>
        <w:rPr>
          <w:rFonts w:ascii="Calibri Light" w:hAnsi="Calibri Light" w:eastAsia="Calibri" w:cs="Calibri Light"/>
          <w:sz w:val="20"/>
          <w:szCs w:val="20"/>
        </w:rPr>
        <w:tab/>
        <w:t xml:space="preserve"/>
      </w:r>
      <w:r>
        <w:rPr>
          <w:rFonts w:ascii="Calibri Light" w:hAnsi="Calibri Light" w:eastAsia="Calibri" w:cs="Calibri Light"/>
          <w:sz w:val="20"/>
          <w:szCs w:val="20"/>
        </w:rPr>
        <w:tab/>
        <w:t xml:space="preserve"/>
      </w:r>
      <w:r>
        <w:rPr>
          <w:rFonts w:ascii="Calibri Light" w:hAnsi="Calibri Light" w:eastAsia="Calibri" w:cs="Calibri Light"/>
          <w:sz w:val="20"/>
          <w:szCs w:val="20"/>
        </w:rPr>
        <w:tab/>
        <w:t xml:space="preserve"/>
      </w:r>
      <w:r>
        <w:rPr>
          <w:rFonts w:ascii="Calibri Light" w:hAnsi="Calibri Light" w:eastAsia="Calibri" w:cs="Calibri Light"/>
          <w:sz w:val="20"/>
          <w:szCs w:val="20"/>
        </w:rPr>
        <w:t xml:space="preserve">  </w:t>
      </w:r>
      <w:r>
        <w:rPr>
          <w:rFonts w:ascii="Arial" w:hAnsi="Arial" w:eastAsia="Calibri" w:cs="Arial"/>
          <w:sz w:val="20"/>
          <w:szCs w:val="20"/>
        </w:rPr>
        <w:t xml:space="preserve">Predsjednik</w:t>
      </w:r>
      <w:r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 xml:space="preserve">Š</w:t>
      </w:r>
      <w:r>
        <w:rPr>
          <w:rFonts w:ascii="Arial" w:hAnsi="Arial" w:eastAsia="Calibri" w:cs="Arial"/>
          <w:sz w:val="20"/>
          <w:szCs w:val="20"/>
        </w:rPr>
        <w:t xml:space="preserve">kolskog</w:t>
      </w:r>
      <w:r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 xml:space="preserve">odbora</w:t>
      </w:r>
      <w:r>
        <w:rPr>
          <w:rFonts w:ascii="Arial" w:hAnsi="Arial" w:eastAsia="Calibri" w:cs="Arial"/>
          <w:sz w:val="20"/>
          <w:szCs w:val="20"/>
        </w:rPr>
        <w:t xml:space="preserve">:</w:t>
      </w:r>
    </w:p>
    <w:p w14:paraId="6A89A546">
      <w:pPr>
        <w:spacing/>
        <w:jc w:val="right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 xml:space="preserve">            Goran </w:t>
      </w:r>
      <w:r>
        <w:rPr>
          <w:rFonts w:ascii="Arial" w:hAnsi="Arial" w:eastAsia="Calibri" w:cs="Arial"/>
          <w:sz w:val="20"/>
          <w:szCs w:val="20"/>
        </w:rPr>
        <w:t xml:space="preserve">Dijanović</w:t>
      </w:r>
    </w:p>
    <w:p w14:paraId="3D965E39">
      <w:pPr>
        <w:spacing/>
        <w:rPr>
          <w:rFonts w:ascii="Arial" w:hAnsi="Arial" w:eastAsia="Calibri" w:cs="Arial"/>
          <w:sz w:val="20"/>
          <w:szCs w:val="20"/>
        </w:rPr>
      </w:pPr>
    </w:p>
    <w:p w14:paraId="4CA98AD8">
      <w:pPr>
        <w:spacing/>
        <w:rPr>
          <w:rFonts w:ascii="Arial" w:hAnsi="Arial" w:eastAsia="Calibri" w:cs="Arial"/>
          <w:sz w:val="20"/>
          <w:szCs w:val="20"/>
        </w:rPr>
      </w:pPr>
    </w:p>
    <w:p w14:paraId="1F406E04">
      <w:pPr>
        <w:spacing/>
        <w:rPr>
          <w:rFonts w:ascii="Arial" w:hAnsi="Arial" w:eastAsia="Calibri" w:cs="Arial"/>
          <w:sz w:val="20"/>
          <w:szCs w:val="20"/>
        </w:rPr>
      </w:pPr>
    </w:p>
    <w:p w14:paraId="05C9585D">
      <w:pPr>
        <w:spacing/>
        <w:rPr>
          <w:rFonts w:ascii="Arial" w:hAnsi="Arial" w:eastAsia="Calibri" w:cs="Arial"/>
          <w:sz w:val="20"/>
          <w:szCs w:val="20"/>
        </w:rPr>
      </w:pPr>
    </w:p>
    <w:p w14:paraId="184F9126">
      <w:pPr>
        <w:spacing/>
        <w:rPr>
          <w:rFonts w:ascii="Arial" w:hAnsi="Arial" w:eastAsia="Calibri" w:cs="Arial"/>
          <w:sz w:val="20"/>
          <w:szCs w:val="20"/>
        </w:rPr>
      </w:pPr>
    </w:p>
    <w:p w14:paraId="3F801C79">
      <w:pPr>
        <w:spacing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Voditelj</w:t>
      </w:r>
      <w:r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 xml:space="preserve">računovodstva</w:t>
      </w:r>
      <w:r>
        <w:rPr>
          <w:rFonts w:ascii="Arial" w:hAnsi="Arial" w:eastAsia="Calibri" w:cs="Arial"/>
          <w:sz w:val="20"/>
          <w:szCs w:val="20"/>
        </w:rPr>
        <w:t xml:space="preserve">:</w:t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 xml:space="preserve">                                                         </w:t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 xml:space="preserve">      </w:t>
      </w:r>
      <w:r>
        <w:rPr>
          <w:rFonts w:ascii="Arial" w:hAnsi="Arial" w:eastAsia="Calibri" w:cs="Arial"/>
          <w:sz w:val="20"/>
          <w:szCs w:val="20"/>
        </w:rPr>
        <w:t xml:space="preserve">                </w:t>
      </w:r>
      <w:r>
        <w:rPr>
          <w:rFonts w:ascii="Arial" w:hAnsi="Arial" w:eastAsia="Calibri" w:cs="Arial"/>
          <w:sz w:val="20"/>
          <w:szCs w:val="20"/>
        </w:rPr>
        <w:t xml:space="preserve">     </w:t>
      </w:r>
      <w:r>
        <w:rPr>
          <w:rFonts w:ascii="Arial" w:hAnsi="Arial" w:eastAsia="Calibri" w:cs="Arial"/>
          <w:sz w:val="20"/>
          <w:szCs w:val="20"/>
        </w:rPr>
        <w:t xml:space="preserve">Ravnateljica</w:t>
      </w:r>
      <w:r>
        <w:rPr>
          <w:rFonts w:ascii="Arial" w:hAnsi="Arial" w:eastAsia="Calibri" w:cs="Arial"/>
          <w:sz w:val="20"/>
          <w:szCs w:val="20"/>
        </w:rPr>
        <w:t xml:space="preserve">:</w:t>
      </w:r>
    </w:p>
    <w:p w14:paraId="30D1143E">
      <w:pPr>
        <w:spacing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Matea</w:t>
      </w:r>
      <w:r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 xml:space="preserve">Spajić</w:t>
      </w:r>
      <w:r>
        <w:rPr>
          <w:rFonts w:ascii="Arial" w:hAnsi="Arial" w:eastAsia="Calibri" w:cs="Arial"/>
          <w:sz w:val="20"/>
          <w:szCs w:val="20"/>
        </w:rPr>
        <w:t xml:space="preserve">, </w:t>
      </w:r>
      <w:r>
        <w:rPr>
          <w:rFonts w:ascii="Arial" w:hAnsi="Arial" w:eastAsia="Calibri" w:cs="Arial"/>
          <w:sz w:val="20"/>
          <w:szCs w:val="20"/>
        </w:rPr>
        <w:t xml:space="preserve">mag.oec</w:t>
      </w:r>
      <w:r>
        <w:rPr>
          <w:rFonts w:ascii="Arial" w:hAnsi="Arial" w:eastAsia="Calibri" w:cs="Arial"/>
          <w:sz w:val="20"/>
          <w:szCs w:val="20"/>
        </w:rPr>
        <w:t xml:space="preserve">.                     </w:t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ab/>
        <w:t xml:space="preserve"/>
      </w:r>
      <w:r>
        <w:rPr>
          <w:rFonts w:ascii="Arial" w:hAnsi="Arial" w:eastAsia="Calibri" w:cs="Arial"/>
          <w:sz w:val="20"/>
          <w:szCs w:val="20"/>
        </w:rPr>
        <w:t xml:space="preserve">                        </w:t>
      </w:r>
      <w:r>
        <w:rPr>
          <w:rFonts w:ascii="Arial" w:hAnsi="Arial" w:eastAsia="Calibri" w:cs="Arial"/>
          <w:sz w:val="20"/>
          <w:szCs w:val="20"/>
        </w:rPr>
        <w:t xml:space="preserve">       </w:t>
      </w:r>
      <w:r>
        <w:rPr>
          <w:rFonts w:ascii="Arial" w:hAnsi="Arial" w:eastAsia="Calibri" w:cs="Arial"/>
          <w:sz w:val="20"/>
          <w:szCs w:val="20"/>
        </w:rPr>
        <w:t xml:space="preserve">  </w:t>
      </w:r>
      <w:r>
        <w:rPr>
          <w:rFonts w:ascii="Arial" w:hAnsi="Arial" w:eastAsia="Calibri" w:cs="Arial"/>
          <w:sz w:val="20"/>
          <w:szCs w:val="20"/>
        </w:rPr>
        <w:t xml:space="preserve">           </w:t>
      </w:r>
      <w:r>
        <w:rPr>
          <w:rFonts w:ascii="Arial" w:hAnsi="Arial" w:eastAsia="Calibri" w:cs="Arial"/>
          <w:sz w:val="20"/>
          <w:szCs w:val="20"/>
        </w:rPr>
        <w:t xml:space="preserve">Kristina Kopf, prof.</w:t>
      </w:r>
    </w:p>
    <w:p w14:paraId="60025089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53D87295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31B09DAA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2169C2DB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71651835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019A7243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27691FEE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6D4D5F31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4E5EA27D">
      <w:pPr>
        <w:spacing/>
        <w:jc w:val="center"/>
        <w:rPr>
          <w:rFonts w:ascii="Arial" w:hAnsi="Arial" w:eastAsia="Calibri" w:cs="Arial"/>
          <w:sz w:val="20"/>
          <w:szCs w:val="20"/>
        </w:rPr>
      </w:pPr>
    </w:p>
    <w:p w14:paraId="08C3E9B5">
      <w:pPr>
        <w:spacing/>
        <w:jc w:val="center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U </w:t>
      </w:r>
      <w:r>
        <w:rPr>
          <w:rFonts w:ascii="Arial" w:hAnsi="Arial" w:eastAsia="Calibri" w:cs="Arial"/>
          <w:sz w:val="20"/>
          <w:szCs w:val="20"/>
        </w:rPr>
        <w:t xml:space="preserve">Osijeku</w:t>
      </w:r>
      <w:r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 xml:space="preserve">04.11.</w:t>
      </w:r>
      <w:r>
        <w:rPr>
          <w:rFonts w:ascii="Arial" w:hAnsi="Arial" w:eastAsia="Calibri" w:cs="Arial"/>
          <w:sz w:val="20"/>
          <w:szCs w:val="20"/>
        </w:rPr>
        <w:t xml:space="preserve">2024</w:t>
      </w:r>
      <w:r>
        <w:rPr>
          <w:rFonts w:ascii="Arial" w:hAnsi="Arial" w:eastAsia="Calibri" w:cs="Arial"/>
          <w:sz w:val="20"/>
          <w:szCs w:val="20"/>
        </w:rPr>
        <w:t xml:space="preserve">.</w:t>
      </w:r>
    </w:p>
    <w:p w14:paraId="3BA27908">
      <w:pPr>
        <w:spacing w:after="160" w:line="259" w:lineRule="auto"/>
        <w:rPr>
          <w:rFonts w:asciiTheme="minorHAnsi" w:hAnsiTheme="minorHAnsi" w:eastAsia="Calibri" w:cstheme="minorBidi"/>
          <w:sz w:val="20"/>
          <w:szCs w:val="20"/>
        </w:rPr>
      </w:pPr>
      <w:r>
        <w:rPr>
          <w:rFonts w:asciiTheme="minorHAnsi" w:hAnsiTheme="minorHAnsi" w:eastAsia="Calibri" w:cstheme="minorBidi"/>
          <w:sz w:val="20"/>
          <w:szCs w:val="20"/>
        </w:rPr>
        <w:br w:type="page"/>
      </w:r>
    </w:p>
    <w:p w14:paraId="1F8C6B5B">
      <w:pPr>
        <w:spacing/>
        <w:jc w:val="center"/>
        <w:rPr>
          <w:rFonts w:ascii="Arial" w:hAnsi="Arial" w:eastAsia="Calibri" w:cs="Arial"/>
          <w:sz w:val="20"/>
          <w:szCs w:val="20"/>
        </w:rPr>
      </w:pPr>
      <w:r>
        <w:rPr>
          <w:rFonts w:asciiTheme="minorHAnsi" w:hAnsiTheme="minorHAnsi" w:eastAsia="Calibri" w:cstheme="minorBid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 LINK Excel.Sheet.8 "C:\\Users\\Računovodstvo\\Downloads\\report (54).xls" "Sheet!R1C1:R41C5" \a \f 4 \h  \* MERGEFORMAT </w:instrText>
      </w:r>
      <w:r>
        <w:rPr>
          <w:rFonts w:asciiTheme="minorHAnsi" w:hAnsiTheme="minorHAnsi" w:eastAsia="Calibri" w:cstheme="minorBidi"/>
          <w:sz w:val="20"/>
          <w:szCs w:val="20"/>
        </w:rPr>
        <w:fldChar w:fldCharType="separate"/>
      </w:r>
    </w:p>
    <w:p w14:paraId="1A1E5E05">
      <w:pPr>
        <w:spacing/>
        <w:rPr>
          <w:rFonts w:ascii="Arial" w:hAnsi="Arial" w:eastAsia="Calibri" w:cs="Arial"/>
          <w:sz w:val="20"/>
          <w:szCs w:val="20"/>
        </w:rPr>
      </w:pPr>
      <w:r>
        <w:rPr>
          <w:rFonts w:asciiTheme="minorHAnsi" w:hAnsiTheme="minorHAnsi" w:eastAsia="Calibri" w:cstheme="minorBidi"/>
          <w:sz w:val="20"/>
          <w:szCs w:val="20"/>
        </w:rPr>
        <w:fldChar w:fldCharType="end"/>
      </w:r>
    </w:p>
    <w:tbl>
      <w:tblPr>
        <w:tblW w:w="10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40"/>
        <w:gridCol w:w="1880"/>
        <w:gridCol w:w="1880"/>
        <w:gridCol w:w="1880"/>
        <w:gridCol w:w="222"/>
      </w:tblGrid>
      <w:tr>
        <w:trPr>
          <w:trHeight w:val="540" w:hRule="atLeast"/>
        </w:trPr>
        <w:tc>
          <w:tcPr>
            <w:tcW w:type="dxa" w:w="10102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PRIJEDLOG IZMJENA I DOPUNA FINANCIJSKOG PLANA ŠKOLA PRIMIJENJENE UMJETNOSTI I DIZAJNA OSIJEK ZA 2024. GODINU</w:t>
            </w:r>
          </w:p>
        </w:tc>
      </w:tr>
      <w:tr>
        <w:trPr>
          <w:trHeight w:val="255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255" w:hRule="atLeast"/>
        </w:trPr>
        <w:tc>
          <w:tcPr>
            <w:tcW w:type="dxa" w:w="10102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I. OPĆI DIO</w:t>
            </w:r>
          </w:p>
        </w:tc>
      </w:tr>
      <w:tr>
        <w:trPr>
          <w:trHeight w:val="255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255" w:hRule="atLeast"/>
        </w:trPr>
        <w:tc>
          <w:tcPr>
            <w:tcW w:type="dxa" w:w="10102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A) SAŽETAK RAČUNA PRIHODA I RASHODA</w:t>
            </w:r>
          </w:p>
        </w:tc>
      </w:tr>
      <w:tr>
        <w:trPr>
          <w:trHeight w:val="135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405" w:hRule="atLeast"/>
        </w:trPr>
        <w:tc>
          <w:tcPr>
            <w:tcW w:type="dxa" w:w="42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za 2024.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za 2024.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05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 UKUPNO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1.897.065,50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1.950.160,50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 PRIHODI POSLOVANJA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1.897.025,50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1.950.120,50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05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 PRIHODI OD PRODAJE NEFINANCIJSKE IMOVINE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 UKUPNO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1.927.365,50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1.980.460,50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 RASHODI POSLOVANJA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1.881.739,50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59.355,00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1.941.094,50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05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 RASHODI ZA NABAVU NEFINANCIJSKE IMOVINE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45.626,00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-6.260,00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39.366,00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RAZLIKA - VIŠAK / MANJAK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-30.300,00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-30.300,00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285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255" w:hRule="atLeast"/>
        </w:trPr>
        <w:tc>
          <w:tcPr>
            <w:tcW w:type="dxa" w:w="10102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B) SAŽETAK RAČUNA FINANCIRANJA</w:t>
            </w:r>
          </w:p>
        </w:tc>
      </w:tr>
      <w:tr>
        <w:trPr>
          <w:trHeight w:val="135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435" w:hRule="atLeast"/>
        </w:trPr>
        <w:tc>
          <w:tcPr>
            <w:tcW w:type="dxa" w:w="42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za 2024.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za 2024.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05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 PRIMICI OD FINANCIJSKE IMOVINE I ZADUŽIVANJA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5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 IZDACI ZA FINANCIJSKU IMOVINU I OTPLATE ZAJMOVA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NETO FINANCIRANJE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05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VIŠAK/MANJAK + NETO FINANCIRANJE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-30.300,00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-30.300,00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270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255" w:hRule="atLeast"/>
        </w:trPr>
        <w:tc>
          <w:tcPr>
            <w:tcW w:type="dxa" w:w="10102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C) PRENESENI VIŠAK ILI PRENESENI MANJAK</w:t>
            </w:r>
          </w:p>
        </w:tc>
      </w:tr>
      <w:tr>
        <w:trPr>
          <w:trHeight w:val="135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70" w:hRule="atLeast"/>
        </w:trPr>
        <w:tc>
          <w:tcPr>
            <w:tcW w:type="dxa" w:w="42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za 2024.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za 2024.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65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PRIJENOS VIŠKA / MANJKA IZ PRETHODNE(IH) GODINA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PRIJENOS VIŠKA / MANJKA U SLJEDEĆE RAZDOBLJE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63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VIŠAK / MANJAK + NETO FINANCIRANJE + PRIJENOS VIŠKA / MANJKA IZ PRETHODNE(IH) GODINE - PRIJENOS VIŠKA / MANJKA U SLJEDEĆE RAZDOBLJE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285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255" w:hRule="atLeast"/>
        </w:trPr>
        <w:tc>
          <w:tcPr>
            <w:tcW w:type="dxa" w:w="10102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D) VIŠEGODIŠNJI PLAN URAVNOTEŽENJA</w:t>
            </w:r>
          </w:p>
        </w:tc>
      </w:tr>
      <w:tr>
        <w:trPr>
          <w:trHeight w:val="105" w:hRule="atLeast"/>
        </w:trPr>
        <w:tc>
          <w:tcPr>
            <w:tcW w:type="dxa" w:w="42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70" w:hRule="atLeast"/>
        </w:trPr>
        <w:tc>
          <w:tcPr>
            <w:tcW w:type="dxa" w:w="42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za 2024.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8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za 2024.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65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PRIJENOS VIŠKA / MANJKA IZ PRETHODNE(IH) GODINE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5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VIŠAK / MANJAK IZ PRETHODNE(IH) GODINE KOJI ĆE SE RASPOREDITI / POKRITI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VIŠAK / MANJAK TEKUĆE GODINE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405" w:hRule="atLeast"/>
        </w:trPr>
        <w:tc>
          <w:tcPr>
            <w:tcW w:type="dxa" w:w="42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PRIJENOS VIŠKA / MANJKA U SLJEDEĆE RAZDOBLJE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2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14A0E9F5">
      <w:pPr>
        <w:spacing/>
        <w:rPr/>
      </w:pPr>
    </w:p>
    <w:tbl>
      <w:tblPr>
        <w:tblW w:w="9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0"/>
        <w:gridCol w:w="3760"/>
        <w:gridCol w:w="1720"/>
        <w:gridCol w:w="1835"/>
        <w:gridCol w:w="1820"/>
      </w:tblGrid>
      <w:tr>
        <w:trPr>
          <w:trHeight w:val="315" w:hRule="atLeast"/>
        </w:trPr>
        <w:tc>
          <w:tcPr>
            <w:tcW w:type="dxa" w:w="992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A. RAČUN PRIHODA I RASHODA</w:t>
            </w:r>
          </w:p>
        </w:tc>
      </w:tr>
      <w:tr>
        <w:trPr>
          <w:trHeight w:val="255" w:hRule="atLeast"/>
        </w:trPr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37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390" w:hRule="atLeast"/>
        </w:trPr>
        <w:tc>
          <w:tcPr>
            <w:tcW w:type="dxa" w:w="992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A1. PRIHODI I RASHODI PREMA EKONOMSKOJ KLASIFIKACIJI</w:t>
            </w:r>
          </w:p>
        </w:tc>
      </w:tr>
      <w:tr>
        <w:trPr>
          <w:trHeight w:val="165" w:hRule="atLeast"/>
        </w:trPr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37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55" w:hRule="atLeast"/>
        </w:trPr>
        <w:tc>
          <w:tcPr>
            <w:tcW w:type="dxa" w:w="88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skupina</w:t>
            </w:r>
          </w:p>
        </w:tc>
        <w:tc>
          <w:tcPr>
            <w:tcW w:type="dxa" w:w="37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prihoda</w:t>
            </w:r>
          </w:p>
        </w:tc>
        <w:tc>
          <w:tcPr>
            <w:tcW w:type="dxa" w:w="17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</w:t>
            </w:r>
          </w:p>
        </w:tc>
        <w:tc>
          <w:tcPr>
            <w:tcW w:type="dxa" w:w="174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8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2024.</w:t>
            </w:r>
          </w:p>
        </w:tc>
      </w:tr>
      <w:tr>
        <w:trPr>
          <w:trHeight w:val="24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PRIHODI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1.897.065,50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1.950.160,50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1.897.025,50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1.950.120,50</w:t>
            </w:r>
          </w:p>
        </w:tc>
      </w:tr>
      <w:tr>
        <w:trPr>
          <w:trHeight w:val="405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63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Pomoći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iz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inozemstva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subjekata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unutar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općeg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proračuna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1.673.413,50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41.180,00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1.714.593,50</w:t>
            </w:r>
          </w:p>
        </w:tc>
      </w:tr>
      <w:tr>
        <w:trPr>
          <w:trHeight w:val="42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65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upravnih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administrativnih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pristojbi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pristojbi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po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posebnim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propisima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naknada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30.000,00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30.000,00</w:t>
            </w:r>
          </w:p>
        </w:tc>
      </w:tr>
      <w:tr>
        <w:trPr>
          <w:trHeight w:val="42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prodaje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proizvoda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robe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te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pruženih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usluga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donacija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27.850,00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27.850,00</w:t>
            </w:r>
          </w:p>
        </w:tc>
      </w:tr>
      <w:tr>
        <w:trPr>
          <w:trHeight w:val="405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67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iz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nadležnog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proračuna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od HZZO-a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temeljem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ugovornih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obveza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165.762,00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11.915,00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177.677,00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od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prodaje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nefinancijske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72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prodaje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proizvedene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dugotrajne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  <w:tr>
        <w:trPr>
          <w:trHeight w:val="255" w:hRule="atLeast"/>
        </w:trPr>
        <w:tc>
          <w:tcPr>
            <w:tcW w:type="dxa" w:w="992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>
        <w:trPr>
          <w:trHeight w:val="165" w:hRule="atLeast"/>
        </w:trPr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37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55" w:hRule="atLeast"/>
        </w:trPr>
        <w:tc>
          <w:tcPr>
            <w:tcW w:type="dxa" w:w="88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skupina</w:t>
            </w:r>
          </w:p>
        </w:tc>
        <w:tc>
          <w:tcPr>
            <w:tcW w:type="dxa" w:w="37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rashoda</w:t>
            </w:r>
          </w:p>
        </w:tc>
        <w:tc>
          <w:tcPr>
            <w:tcW w:type="dxa" w:w="17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</w:t>
            </w:r>
          </w:p>
        </w:tc>
        <w:tc>
          <w:tcPr>
            <w:tcW w:type="dxa" w:w="174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8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2024.</w:t>
            </w:r>
          </w:p>
        </w:tc>
      </w:tr>
      <w:tr>
        <w:trPr>
          <w:trHeight w:val="24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RASHODI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1.927.365,50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1.980.460,50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1.881.739,50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59.355,00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1.941.094,50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31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zaposlene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1.670.150,00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34.500,00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1.704.650,00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210.667,00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24.855,00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235.522,00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38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Ostali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922,50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922,50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nefinancijske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45.626,00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-6.260,00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39.366,00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42</w:t>
            </w:r>
          </w:p>
        </w:tc>
        <w:tc>
          <w:tcPr>
            <w:tcW w:type="dxa" w:w="3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proizvedene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dugotrajne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45.626,00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-6.260,00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39.366,00</w:t>
            </w:r>
          </w:p>
        </w:tc>
      </w:tr>
    </w:tbl>
    <w:p w14:paraId="173DB0D8">
      <w:pPr>
        <w:spacing/>
        <w:rPr/>
      </w:pPr>
    </w:p>
    <w:tbl>
      <w:tblPr>
        <w:tblW w:w="10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21"/>
        <w:gridCol w:w="3960"/>
        <w:gridCol w:w="1780"/>
        <w:gridCol w:w="1780"/>
        <w:gridCol w:w="1780"/>
      </w:tblGrid>
      <w:tr>
        <w:trPr>
          <w:trHeight w:val="255" w:hRule="atLeast"/>
        </w:trPr>
        <w:tc>
          <w:tcPr>
            <w:tcW w:type="dxa" w:w="1006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A2. PRIHODI I RASHODI PREMA IZVORIMA FINANCIRANJA</w:t>
            </w:r>
          </w:p>
        </w:tc>
      </w:tr>
      <w:tr>
        <w:trPr>
          <w:trHeight w:val="150" w:hRule="atLeast"/>
        </w:trPr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300" w:hRule="atLeast"/>
        </w:trPr>
        <w:tc>
          <w:tcPr>
            <w:tcW w:type="dxa" w:w="1006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>
        <w:trPr>
          <w:trHeight w:val="225" w:hRule="atLeast"/>
        </w:trPr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55" w:hRule="atLeast"/>
        </w:trPr>
        <w:tc>
          <w:tcPr>
            <w:tcW w:type="dxa" w:w="7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skupina</w:t>
            </w:r>
          </w:p>
        </w:tc>
        <w:tc>
          <w:tcPr>
            <w:tcW w:type="dxa" w:w="39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2024.</w:t>
            </w:r>
          </w:p>
        </w:tc>
      </w:tr>
      <w:tr>
        <w:trPr>
          <w:trHeight w:val="24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PRIHODI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1.897.065,50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1.950.160,50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OPĆI PRIHODI I PRIMICI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3.516,00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3.516,00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11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OPĆI PRIHODI I PRIMICI - ŽUPANIJSKI PRORAČUN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3.516,00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3.516,00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VLASTITI PRIHODI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26.150,00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26.150,00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VLASTITI PRIHODI - PRORAČUNSKI KORISNICI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26.150,00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26.150,00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ZA POSEBNE NAMJENE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189.465,00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11.915,00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201.380,00</w:t>
            </w:r>
          </w:p>
        </w:tc>
      </w:tr>
      <w:tr>
        <w:trPr>
          <w:trHeight w:val="42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 ZA POSEBNE NAMJENE - DECENTRALIZACIJA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159.465,00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11.915,00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171.380,00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49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 ZA POSEBNE NAMJENE - OSTALO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30.000,00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30.000,00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POMOĆI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1.676.194,50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41.180,00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1.717.374,50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52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POMOĆI - ŽUPANIJSKI PRORAČUN - EU PROJEKTI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54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POMOĆI - KORISNICI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1.673.413,50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41.180,00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1.714.593,50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DONACIJE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62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DONACIJE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</w:tr>
      <w:tr>
        <w:trPr>
          <w:trHeight w:val="405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NEFINANCIJSKE IMOVINE I NADOKNADE ŠTETA S OSNOVA OSIGURANJA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  <w:tr>
        <w:trPr>
          <w:trHeight w:val="42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72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 OD PRODAJE PROIZVEDENE DUGOTRAJNE IMOVINE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  <w:tr>
        <w:trPr>
          <w:trHeight w:val="300" w:hRule="atLeast"/>
        </w:trPr>
        <w:tc>
          <w:tcPr>
            <w:tcW w:type="dxa" w:w="1006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>
        <w:trPr>
          <w:trHeight w:val="225" w:hRule="atLeast"/>
        </w:trPr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55" w:hRule="atLeast"/>
        </w:trPr>
        <w:tc>
          <w:tcPr>
            <w:tcW w:type="dxa" w:w="7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skupina</w:t>
            </w:r>
          </w:p>
        </w:tc>
        <w:tc>
          <w:tcPr>
            <w:tcW w:type="dxa" w:w="39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2024.</w:t>
            </w:r>
          </w:p>
        </w:tc>
      </w:tr>
      <w:tr>
        <w:trPr>
          <w:trHeight w:val="24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RASHODI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1.927.365,50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1.980.460,50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OPĆI PRIHODI I PRIMICI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3.516,00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3.516,00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11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OPĆI PRIHODI I PRIMICI - ŽUPANIJSKI PRORAČUN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3.516,00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3.516,00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VLASTITI PRIHODI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39.550,00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39.550,00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VLASTITI PRIHODI - PRORAČUNSKI KORISNICI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39.550,00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39.550,00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ZA POSEBNE NAMJENE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206.365,00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11.915,00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218.280,00</w:t>
            </w:r>
          </w:p>
        </w:tc>
      </w:tr>
      <w:tr>
        <w:trPr>
          <w:trHeight w:val="42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 ZA POSEBNE NAMJENE - DECENTRALIZACIJA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159.465,00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11.915,00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171.380,00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49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 ZA POSEBNE NAMJENE - OSTALO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46.900,00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46.900,00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POMOĆI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1.676.194,50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41.180,00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1.717.374,50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52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POMOĆI - ŽUPANIJSKI PRORAČUN - EU PROJEKTI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54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POMOĆI - KORISNICI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1.673.413,50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41.180,00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1.714.593,50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DONACIJE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62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DONACIJE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</w:tr>
      <w:tr>
        <w:trPr>
          <w:trHeight w:val="405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NEFINANCIJSKE IMOVINE I NADOKNADE ŠTETA S OSNOVA OSIGURANJA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  <w:tr>
        <w:trPr>
          <w:trHeight w:val="42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72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PRIHODI OD PRODAJE PROIZVEDENE DUGOTRAJNE IMOVINE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</w:tbl>
    <w:p w14:paraId="0028C3CB">
      <w:pPr>
        <w:spacing/>
        <w:rPr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"C:\\Users\\Računovodstvo\\Downloads\\report (64).xls" "Sheet!R1C1:R38C5" \a \f 4 \h  \* MERGEFORMAT </w:instrText>
      </w:r>
      <w:r>
        <w:rPr>
          <w:rFonts w:ascii="Arial" w:hAnsi="Arial" w:cs="Arial"/>
        </w:rPr>
        <w:fldChar w:fldCharType="separate"/>
      </w:r>
    </w:p>
    <w:p w14:paraId="36EBE0F1">
      <w:pPr>
        <w:spacing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12215F1D">
      <w:pPr>
        <w:spacing/>
        <w:rPr>
          <w:rFonts w:ascii="Arial" w:hAnsi="Arial" w:cs="Arial"/>
        </w:rPr>
      </w:pPr>
    </w:p>
    <w:tbl>
      <w:tblPr>
        <w:tblW w:w="99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21"/>
        <w:gridCol w:w="4100"/>
        <w:gridCol w:w="1720"/>
        <w:gridCol w:w="1835"/>
        <w:gridCol w:w="1700"/>
      </w:tblGrid>
      <w:tr>
        <w:trPr>
          <w:trHeight w:val="540" w:hRule="atLeast"/>
        </w:trPr>
        <w:tc>
          <w:tcPr>
            <w:tcW w:type="dxa" w:w="994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PRIJEDLOG IZMJENA I DOPUNA FINANCIJSKOG PLANA ŠKOLA PRIMIJENJENE UMJETNOSTI I DIZAJNA OSIJEK ZA 2024. GODINU</w:t>
            </w:r>
          </w:p>
        </w:tc>
      </w:tr>
      <w:tr>
        <w:trPr>
          <w:trHeight w:val="255" w:hRule="atLeast"/>
        </w:trPr>
        <w:tc>
          <w:tcPr>
            <w:tcW w:type="dxa" w:w="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41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300" w:hRule="atLeast"/>
        </w:trPr>
        <w:tc>
          <w:tcPr>
            <w:tcW w:type="dxa" w:w="994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I. OPĆI DIO</w:t>
            </w:r>
          </w:p>
        </w:tc>
      </w:tr>
      <w:tr>
        <w:trPr>
          <w:trHeight w:val="255" w:hRule="atLeast"/>
        </w:trPr>
        <w:tc>
          <w:tcPr>
            <w:tcW w:type="dxa" w:w="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41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315" w:hRule="atLeast"/>
        </w:trPr>
        <w:tc>
          <w:tcPr>
            <w:tcW w:type="dxa" w:w="994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A. RAČUN PRIHODA I RASHODA </w:t>
            </w:r>
          </w:p>
        </w:tc>
      </w:tr>
      <w:tr>
        <w:trPr>
          <w:trHeight w:val="255" w:hRule="atLeast"/>
        </w:trPr>
        <w:tc>
          <w:tcPr>
            <w:tcW w:type="dxa" w:w="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41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315" w:hRule="atLeast"/>
        </w:trPr>
        <w:tc>
          <w:tcPr>
            <w:tcW w:type="dxa" w:w="994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A3. RASHODI PREMA FUNKCIJSKOJ KLASIFIKACIJI</w:t>
            </w:r>
          </w:p>
        </w:tc>
      </w:tr>
      <w:tr>
        <w:trPr>
          <w:trHeight w:val="255" w:hRule="atLeast"/>
        </w:trPr>
        <w:tc>
          <w:tcPr>
            <w:tcW w:type="dxa" w:w="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41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25" w:hRule="atLeast"/>
        </w:trPr>
        <w:tc>
          <w:tcPr>
            <w:tcW w:type="dxa" w:w="7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skupina</w:t>
            </w:r>
          </w:p>
        </w:tc>
        <w:tc>
          <w:tcPr>
            <w:tcW w:type="dxa" w:w="410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7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za 2024.</w:t>
            </w:r>
          </w:p>
        </w:tc>
        <w:tc>
          <w:tcPr>
            <w:tcW w:type="dxa" w:w="170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70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za 2024.</w:t>
            </w:r>
          </w:p>
        </w:tc>
      </w:tr>
      <w:tr>
        <w:trPr>
          <w:trHeight w:val="225" w:hRule="atLeast"/>
        </w:trPr>
        <w:tc>
          <w:tcPr>
            <w:tcW w:type="dxa" w:w="7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41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</w:tr>
      <w:tr>
        <w:trPr>
          <w:trHeight w:val="360" w:hRule="atLeast"/>
        </w:trPr>
        <w:tc>
          <w:tcPr>
            <w:tcW w:type="dxa" w:w="7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41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RASHODI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1.927.365,50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1.980.460,50</w:t>
            </w:r>
          </w:p>
        </w:tc>
      </w:tr>
      <w:tr>
        <w:trPr>
          <w:trHeight w:val="360" w:hRule="atLeast"/>
        </w:trPr>
        <w:tc>
          <w:tcPr>
            <w:tcW w:type="dxa" w:w="7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09</w:t>
            </w:r>
          </w:p>
        </w:tc>
        <w:tc>
          <w:tcPr>
            <w:tcW w:type="dxa" w:w="41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Obrazovanje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1.927.365,50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1.980.460,50</w:t>
            </w:r>
          </w:p>
        </w:tc>
      </w:tr>
      <w:tr>
        <w:trPr>
          <w:trHeight w:val="360" w:hRule="atLeast"/>
        </w:trPr>
        <w:tc>
          <w:tcPr>
            <w:tcW w:type="dxa" w:w="7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091</w:t>
            </w:r>
          </w:p>
        </w:tc>
        <w:tc>
          <w:tcPr>
            <w:tcW w:type="dxa" w:w="41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Predškolsko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osnovno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obrazovanje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3.947,00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3.947,00</w:t>
            </w:r>
          </w:p>
        </w:tc>
      </w:tr>
      <w:tr>
        <w:trPr>
          <w:trHeight w:val="360" w:hRule="atLeast"/>
        </w:trPr>
        <w:tc>
          <w:tcPr>
            <w:tcW w:type="dxa" w:w="7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092</w:t>
            </w:r>
          </w:p>
        </w:tc>
        <w:tc>
          <w:tcPr>
            <w:tcW w:type="dxa" w:w="41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Srednjoškolsko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obrazovanje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1.923.168,50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53.095,00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1.976.263,50</w:t>
            </w:r>
          </w:p>
        </w:tc>
      </w:tr>
      <w:tr>
        <w:trPr>
          <w:trHeight w:val="360" w:hRule="atLeast"/>
        </w:trPr>
        <w:tc>
          <w:tcPr>
            <w:tcW w:type="dxa" w:w="7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096</w:t>
            </w:r>
          </w:p>
        </w:tc>
        <w:tc>
          <w:tcPr>
            <w:tcW w:type="dxa" w:w="41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Dodatne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usluge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u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obrazovanju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250,00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250,00</w:t>
            </w:r>
          </w:p>
        </w:tc>
      </w:tr>
    </w:tbl>
    <w:p w14:paraId="10AD2D5E">
      <w:pPr>
        <w:spacing/>
        <w:rPr>
          <w:rFonts w:ascii="Arial" w:hAnsi="Arial" w:cs="Arial"/>
        </w:rPr>
      </w:pPr>
    </w:p>
    <w:tbl>
      <w:tblPr>
        <w:tblW w:w="9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0"/>
        <w:gridCol w:w="3740"/>
        <w:gridCol w:w="1740"/>
        <w:gridCol w:w="1835"/>
        <w:gridCol w:w="1820"/>
      </w:tblGrid>
      <w:tr>
        <w:trPr>
          <w:trHeight w:val="315" w:hRule="atLeast"/>
        </w:trPr>
        <w:tc>
          <w:tcPr>
            <w:tcW w:type="dxa" w:w="992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B1. RAČUN FINANCIRANJA PREMA EKONOMSKOJ KLASIFIKACIJI</w:t>
            </w:r>
          </w:p>
        </w:tc>
      </w:tr>
      <w:tr>
        <w:trPr>
          <w:trHeight w:val="255" w:hRule="atLeast"/>
        </w:trPr>
        <w:tc>
          <w:tcPr>
            <w:tcW w:type="dxa" w:w="8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37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82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55" w:hRule="atLeast"/>
        </w:trPr>
        <w:tc>
          <w:tcPr>
            <w:tcW w:type="dxa" w:w="88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skupina</w:t>
            </w:r>
          </w:p>
        </w:tc>
        <w:tc>
          <w:tcPr>
            <w:tcW w:type="dxa" w:w="374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74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</w:t>
            </w:r>
          </w:p>
        </w:tc>
        <w:tc>
          <w:tcPr>
            <w:tcW w:type="dxa" w:w="174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8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2024.</w:t>
            </w:r>
          </w:p>
        </w:tc>
      </w:tr>
      <w:tr>
        <w:trPr>
          <w:trHeight w:val="24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tcW w:type="dxa" w:w="88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8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</w:tr>
    </w:tbl>
    <w:p w14:paraId="506E9D12">
      <w:pPr>
        <w:spacing/>
        <w:rPr>
          <w:rFonts w:ascii="Arial" w:hAnsi="Arial" w:cs="Arial"/>
        </w:rPr>
      </w:pPr>
    </w:p>
    <w:tbl>
      <w:tblPr>
        <w:tblW w:w="10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21"/>
        <w:gridCol w:w="3960"/>
        <w:gridCol w:w="1780"/>
        <w:gridCol w:w="1780"/>
        <w:gridCol w:w="1780"/>
      </w:tblGrid>
      <w:tr>
        <w:trPr>
          <w:trHeight w:val="255" w:hRule="atLeast"/>
        </w:trPr>
        <w:tc>
          <w:tcPr>
            <w:tcW w:type="dxa" w:w="1006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B2. RAČUN FINANCIRANJA PREMA IZVORIMA FINANCIRANJA</w:t>
            </w:r>
          </w:p>
        </w:tc>
      </w:tr>
      <w:tr>
        <w:trPr>
          <w:trHeight w:val="150" w:hRule="atLeast"/>
        </w:trPr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300" w:hRule="atLeast"/>
        </w:trPr>
        <w:tc>
          <w:tcPr>
            <w:tcW w:type="dxa" w:w="1006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>
        <w:trPr>
          <w:trHeight w:val="225" w:hRule="atLeast"/>
        </w:trPr>
        <w:tc>
          <w:tcPr>
            <w:tcW w:type="dxa" w:w="7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dxa" w:w="396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55" w:hRule="atLeast"/>
        </w:trPr>
        <w:tc>
          <w:tcPr>
            <w:tcW w:type="dxa" w:w="7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Razred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skupina</w:t>
            </w:r>
          </w:p>
        </w:tc>
        <w:tc>
          <w:tcPr>
            <w:tcW w:type="dxa" w:w="39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2024.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7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2024.</w:t>
            </w:r>
          </w:p>
        </w:tc>
      </w:tr>
      <w:tr>
        <w:trPr>
          <w:trHeight w:val="24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</w:tr>
      <w:tr>
        <w:trPr>
          <w:trHeight w:val="360" w:hRule="atLeast"/>
        </w:trPr>
        <w:tc>
          <w:tcPr>
            <w:tcW w:type="dxa" w:w="76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39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</w:tr>
    </w:tbl>
    <w:p w14:paraId="28FD4F71">
      <w:pPr>
        <w:spacing/>
        <w:rPr>
          <w:rFonts w:ascii="Arial" w:hAnsi="Arial" w:cs="Arial"/>
        </w:rPr>
      </w:pPr>
    </w:p>
    <w:tbl>
      <w:tblPr>
        <w:tblW w:w="10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9"/>
        <w:gridCol w:w="590"/>
        <w:gridCol w:w="7"/>
        <w:gridCol w:w="229"/>
        <w:gridCol w:w="2181"/>
        <w:gridCol w:w="306"/>
        <w:gridCol w:w="1537"/>
        <w:gridCol w:w="1383"/>
        <w:gridCol w:w="1773"/>
        <w:gridCol w:w="723"/>
        <w:gridCol w:w="723"/>
      </w:tblGrid>
      <w:tr>
        <w:trPr>
          <w:trHeight w:val="500" w:hRule="atLeast"/>
        </w:trPr>
        <w:tc>
          <w:tcPr>
            <w:tcW w:type="dxa" w:w="10131"/>
            <w:gridSpan w:val="1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PRIJEDLOG IZMJENA I DOPUNA FINANCIJSKOG PLANA ŠKOLA PRIMIJENJENE UMJETNOSTI I DIZAJNA OSIJEK ZA 2024</w:t>
            </w:r>
          </w:p>
        </w:tc>
      </w:tr>
      <w:tr>
        <w:trPr>
          <w:trHeight w:val="236" w:hRule="atLeast"/>
        </w:trPr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59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36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18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306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7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72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72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236" w:hRule="atLeast"/>
        </w:trPr>
        <w:tc>
          <w:tcPr>
            <w:tcW w:type="dxa" w:w="10131"/>
            <w:gridSpan w:val="1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I. OPĆI DIO</w:t>
            </w:r>
          </w:p>
        </w:tc>
      </w:tr>
      <w:tr>
        <w:trPr>
          <w:trHeight w:val="236" w:hRule="atLeast"/>
        </w:trPr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59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36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18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306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7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72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72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236" w:hRule="atLeast"/>
        </w:trPr>
        <w:tc>
          <w:tcPr>
            <w:tcW w:type="dxa" w:w="10131"/>
            <w:gridSpan w:val="1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C) PRENESENI VIŠAK ILI PRENESENI MANJAK</w:t>
            </w:r>
          </w:p>
        </w:tc>
      </w:tr>
      <w:tr>
        <w:trPr>
          <w:trHeight w:val="236" w:hRule="atLeast"/>
        </w:trPr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59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36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218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306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53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38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77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72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72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611" w:hRule="atLeast"/>
        </w:trPr>
        <w:tc>
          <w:tcPr>
            <w:tcW w:type="dxa" w:w="6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Konto</w:t>
            </w:r>
          </w:p>
        </w:tc>
        <w:tc>
          <w:tcPr>
            <w:tcW w:type="dxa" w:w="59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</w:t>
            </w:r>
          </w:p>
        </w:tc>
        <w:tc>
          <w:tcPr>
            <w:tcW w:type="dxa" w:w="2417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843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2023.</w:t>
            </w:r>
          </w:p>
        </w:tc>
        <w:tc>
          <w:tcPr>
            <w:tcW w:type="dxa" w:w="138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plan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proračuna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2024.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godinu</w:t>
            </w:r>
          </w:p>
        </w:tc>
        <w:tc>
          <w:tcPr>
            <w:tcW w:type="dxa" w:w="177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2024.</w:t>
            </w:r>
          </w:p>
        </w:tc>
        <w:tc>
          <w:tcPr>
            <w:tcW w:type="dxa" w:w="7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6/4</w:t>
            </w:r>
          </w:p>
        </w:tc>
        <w:tc>
          <w:tcPr>
            <w:tcW w:type="dxa" w:w="7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6/5</w:t>
            </w:r>
          </w:p>
        </w:tc>
      </w:tr>
      <w:tr>
        <w:trPr>
          <w:trHeight w:val="208" w:hRule="atLeast"/>
        </w:trPr>
        <w:tc>
          <w:tcPr>
            <w:tcW w:type="dxa" w:w="67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1</w:t>
            </w:r>
          </w:p>
        </w:tc>
        <w:tc>
          <w:tcPr>
            <w:tcW w:type="dxa" w:w="59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2</w:t>
            </w:r>
          </w:p>
        </w:tc>
        <w:tc>
          <w:tcPr>
            <w:tcW w:type="dxa" w:w="2417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3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4</w:t>
            </w:r>
          </w:p>
        </w:tc>
        <w:tc>
          <w:tcPr>
            <w:tcW w:type="dxa" w:w="138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5</w:t>
            </w:r>
          </w:p>
        </w:tc>
        <w:tc>
          <w:tcPr>
            <w:tcW w:type="dxa" w:w="177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6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7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8</w:t>
            </w:r>
          </w:p>
        </w:tc>
      </w:tr>
      <w:tr>
        <w:trPr>
          <w:trHeight w:val="333" w:hRule="atLeast"/>
        </w:trPr>
        <w:tc>
          <w:tcPr>
            <w:tcW w:type="dxa" w:w="67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</w:t>
            </w:r>
          </w:p>
        </w:tc>
        <w:tc>
          <w:tcPr>
            <w:tcW w:type="dxa" w:w="597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 </w:t>
            </w:r>
          </w:p>
        </w:tc>
        <w:tc>
          <w:tcPr>
            <w:tcW w:type="dxa" w:w="2410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Vlastiti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izvori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30.300,00</w:t>
            </w:r>
          </w:p>
        </w:tc>
        <w:tc>
          <w:tcPr>
            <w:tcW w:type="dxa" w:w="138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7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30.300,00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</w:t>
            </w:r>
          </w:p>
        </w:tc>
      </w:tr>
      <w:tr>
        <w:trPr>
          <w:trHeight w:val="333" w:hRule="atLeast"/>
        </w:trPr>
        <w:tc>
          <w:tcPr>
            <w:tcW w:type="dxa" w:w="67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92</w:t>
            </w:r>
          </w:p>
        </w:tc>
        <w:tc>
          <w:tcPr>
            <w:tcW w:type="dxa" w:w="597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 </w:t>
            </w:r>
          </w:p>
        </w:tc>
        <w:tc>
          <w:tcPr>
            <w:tcW w:type="dxa" w:w="2410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Rezultat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</w:p>
        </w:tc>
        <w:tc>
          <w:tcPr>
            <w:tcW w:type="dxa" w:w="138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7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30.300,00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</w:t>
            </w:r>
          </w:p>
        </w:tc>
      </w:tr>
      <w:tr>
        <w:trPr>
          <w:trHeight w:val="389" w:hRule="atLeast"/>
        </w:trPr>
        <w:tc>
          <w:tcPr>
            <w:tcW w:type="dxa" w:w="67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 </w:t>
            </w:r>
          </w:p>
        </w:tc>
        <w:tc>
          <w:tcPr>
            <w:tcW w:type="dxa" w:w="597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2410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VLASTITI PRIHODI - PRORAČUNSKI KORISNICI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13.400,00</w:t>
            </w:r>
          </w:p>
        </w:tc>
        <w:tc>
          <w:tcPr>
            <w:tcW w:type="dxa" w:w="138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7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13.400,00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100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</w:t>
            </w:r>
          </w:p>
        </w:tc>
      </w:tr>
      <w:tr>
        <w:trPr>
          <w:trHeight w:val="375" w:hRule="atLeast"/>
        </w:trPr>
        <w:tc>
          <w:tcPr>
            <w:tcW w:type="dxa" w:w="67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 </w:t>
            </w:r>
          </w:p>
        </w:tc>
        <w:tc>
          <w:tcPr>
            <w:tcW w:type="dxa" w:w="597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49</w:t>
            </w:r>
          </w:p>
        </w:tc>
        <w:tc>
          <w:tcPr>
            <w:tcW w:type="dxa" w:w="2410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PRIHODI ZA POSEBNE NAMJENE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-  KORISNICI</w:t>
            </w:r>
          </w:p>
        </w:tc>
        <w:tc>
          <w:tcPr>
            <w:tcW w:type="dxa" w:w="1843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16.900,00</w:t>
            </w:r>
          </w:p>
        </w:tc>
        <w:tc>
          <w:tcPr>
            <w:tcW w:type="dxa" w:w="138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77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16.900,00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100</w:t>
            </w:r>
          </w:p>
        </w:tc>
        <w:tc>
          <w:tcPr>
            <w:tcW w:type="dxa" w:w="7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</w:t>
            </w:r>
          </w:p>
        </w:tc>
      </w:tr>
    </w:tbl>
    <w:p w14:paraId="6711177D">
      <w:pPr>
        <w:spacing/>
        <w:rPr>
          <w:rFonts w:ascii="Arial" w:hAnsi="Arial" w:cs="Arial"/>
        </w:rPr>
      </w:pPr>
    </w:p>
    <w:tbl>
      <w:tblPr>
        <w:tblW w:w="99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00"/>
        <w:gridCol w:w="3640"/>
        <w:gridCol w:w="1400"/>
        <w:gridCol w:w="1400"/>
        <w:gridCol w:w="1400"/>
      </w:tblGrid>
      <w:tr>
        <w:trPr>
          <w:trHeight w:val="300" w:hRule="atLeast"/>
        </w:trPr>
        <w:tc>
          <w:tcPr>
            <w:tcW w:type="dxa" w:w="994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II. POSEBNI DIO</w:t>
            </w:r>
          </w:p>
        </w:tc>
      </w:tr>
      <w:tr>
        <w:trPr>
          <w:trHeight w:val="120" w:hRule="atLeast"/>
        </w:trPr>
        <w:tc>
          <w:tcPr>
            <w:tcW w:type="dxa" w:w="21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36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4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4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4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300" w:hRule="atLeast"/>
        </w:trPr>
        <w:tc>
          <w:tcPr>
            <w:tcW w:type="dxa" w:w="9940"/>
            <w:gridSpan w:val="5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Posebni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dio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programskoj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klasifikaciji</w:t>
            </w:r>
          </w:p>
        </w:tc>
      </w:tr>
      <w:tr>
        <w:trPr>
          <w:trHeight w:val="90" w:hRule="atLeast"/>
        </w:trPr>
        <w:tc>
          <w:tcPr>
            <w:tcW w:type="dxa" w:w="21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type="dxa" w:w="364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4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4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  <w:tc>
          <w:tcPr>
            <w:tcW w:type="dxa" w:w="140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sz w:val="20"/>
                <w:szCs w:val="20"/>
                <w:lang w:eastAsia="hr-HR"/>
              </w:rPr>
            </w:pPr>
          </w:p>
        </w:tc>
      </w:tr>
      <w:tr>
        <w:trPr>
          <w:trHeight w:val="570" w:hRule="atLeast"/>
        </w:trPr>
        <w:tc>
          <w:tcPr>
            <w:tcW w:type="dxa" w:w="21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Šifra</w:t>
            </w:r>
          </w:p>
        </w:tc>
        <w:tc>
          <w:tcPr>
            <w:tcW w:type="dxa" w:w="364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Naziv</w:t>
            </w:r>
          </w:p>
        </w:tc>
        <w:tc>
          <w:tcPr>
            <w:tcW w:type="dxa" w:w="140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za 2024.</w:t>
            </w:r>
          </w:p>
        </w:tc>
        <w:tc>
          <w:tcPr>
            <w:tcW w:type="dxa" w:w="140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Povećanje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smanjenje</w:t>
            </w:r>
          </w:p>
        </w:tc>
        <w:tc>
          <w:tcPr>
            <w:tcW w:type="dxa" w:w="140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za 2024.</w:t>
            </w:r>
          </w:p>
        </w:tc>
      </w:tr>
      <w:tr>
        <w:trPr>
          <w:trHeight w:val="22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   1207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RAZVOJ ODGOJNO-OBRAZOVNOG SUSTAVA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4.197,00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4.197,00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A1207 04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ORGANIZACIJA I IZVOĐENJE NATJECANJA I SMOTRI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250,00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11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OPĆI PRIHODI I PRIMICI - ŽUPANIJSKI PRORAČUN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zaposlene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50,00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T1207 33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PROGRAMI I PROJEKTI U ODGOJU I OBRAZOVANJU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11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OPĆI PRIHODI I PRIMICI - ŽUPANIJSKI PRORAČUN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</w:tr>
      <w:tr>
        <w:trPr>
          <w:trHeight w:val="60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K1207 17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SUFINANCIRANJE OBAVEZNE ŠKOLSKE LEKTIRE U OSNOVNIM I SREDNJIM ŠKOLAMA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166,00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166,00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11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OPĆI PRIHODI I PRIMICI - ŽUPANIJSKI PRORAČUN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166,00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166,00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nefinancijske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proizvedene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dugotrajne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T1207 20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SHEMA - VOĆE, POVRĆE I MLIJEKO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52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POMOĆI - ŽUPANIJSKI PRORAČUN - EU PROJEKTI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2.781,00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   7007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FINANCIRANJE SREDNJEG ŠKOLSTVA PREMA MINIMALNOM STANDARDU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161.565,00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11.915,00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173.480,00</w:t>
            </w:r>
          </w:p>
        </w:tc>
      </w:tr>
      <w:tr>
        <w:trPr>
          <w:trHeight w:val="60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K7007 08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IZGRADNJA, REKONSTRUKCIJA I OPREMANJE OBJEKATA SREDNJEG ŠKOLSTVA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1.330,00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1.330,00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46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PRIHODI ZA POSEBNE NAMJENE - DECENTRALIZACIJA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1.330,00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1.330,00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nefinancijske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1.330,00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1.330,00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proizvedene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dugotrajne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1.330,00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1.330,00</w:t>
            </w:r>
          </w:p>
        </w:tc>
      </w:tr>
      <w:tr>
        <w:trPr>
          <w:trHeight w:val="60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K7007 09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PLANSKO I HITNO ODRŽAVANJE OBJEKATA I OPREME SREDNJEG ŠKOLSTVA I UČENIČKIH DOMOVA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3.350,00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3.350,00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46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PRIHODI ZA POSEBNE NAMJENE - DECENTRALIZACIJA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3.350,00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3.350,00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3.350,00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A7007 05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FINANCIRANJE OPĆIH TROŠKOVA SREDNJEG ŠKOLSTVA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27.135,00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4.065,00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31.200,00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46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PRIHODI ZA POSEBNE NAMJENE - DECENTRALIZACIJA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27.135,00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4.065,00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31.200,00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27.135,00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4.065,00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31.200,00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27.135,00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4.065,00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31.200,00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A7007 06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FINANCIRANJE STVARNIH TROŠKOVA SREDNJEG ŠKOLSTVA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133.100,00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137.600,00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11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OPĆI PRIHODI I PRIMICI - ŽUPANIJSKI PRORAČUN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2.100,00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2.100,00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2.100,00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2.100,00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2.100,00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2.100,00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46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PRIHODI ZA POSEBNE NAMJENE - DECENTRALIZACIJA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131.000,00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4.500,00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135.500,00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135.500,00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135.500,00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   7011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FINANCIRANJE ŠKOLSTVA IZVAN ŽUPANIJSKOG PRORAČUNA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1.761.603,50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41.180,00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1.802.783,50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A7011 02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VLASTITI PRIHODI - SREDNJE ŠKOLSTVO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1.761.603,50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41.180,00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1.802.783,50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VLASTITI PRIHODI - PRORAČUNSKI KORISNICI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39.550,00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39.550,00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20.710,00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4.060,00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24.770,00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zaposlene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4.800,00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4.800,00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15.910,00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4.060,00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19.970,00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nefinancijske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18.840,00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-4.060,00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14.780,00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proizvedene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dugotrajne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18.840,00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-4.060,00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14.780,00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49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PRIHODI ZA POSEBNE NAMJENE - OSTALO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46.900,00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46.900,00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22.650,00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25.150,00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zaposlene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22.450,00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24.950,00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nefinancijske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24.250,00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-2.500,00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21.750,00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proizvedene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dugotrajne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24.250,00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-2.500,00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21.750,00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54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POMOĆI - KORISNICI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1.673.413,50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41.180,00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1.714.593,50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1.672.413,50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40.880,00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1.713.293,50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31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zaposlene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1.664.950,00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34.500,00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1.699.450,00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6.541,00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6.380,00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12.921,00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38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Ostali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922,50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922,50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nefinancijske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1.300,00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proizvedene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dugotrajne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62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DONACIJE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poslovanja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Materijalni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1.700,00</w:t>
            </w:r>
          </w:p>
        </w:tc>
      </w:tr>
      <w:tr>
        <w:trPr>
          <w:trHeight w:val="405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Izvor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financiranja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   72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PRIHODI OD PRODAJE PROIZVEDENE DUGOTRAJNE 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  <w:tr>
        <w:trPr>
          <w:trHeight w:val="36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nefinancijske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  <w:tr>
        <w:trPr>
          <w:trHeight w:val="420" w:hRule="atLeast"/>
        </w:trPr>
        <w:tc>
          <w:tcPr>
            <w:tcW w:type="dxa" w:w="21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42</w:t>
            </w:r>
          </w:p>
        </w:tc>
        <w:tc>
          <w:tcPr>
            <w:tcW w:type="dxa" w:w="36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Rashodi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nabavu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proizvedene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dugotrajne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imovine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</w:t>
            </w:r>
          </w:p>
        </w:tc>
        <w:tc>
          <w:tcPr>
            <w:tcW w:type="dxa" w:w="140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</w:t>
            </w:r>
          </w:p>
        </w:tc>
      </w:tr>
    </w:tbl>
    <w:p w14:paraId="143949AB">
      <w:pPr>
        <w:spacing/>
        <w:rPr>
          <w:rFonts w:ascii="Arial" w:hAnsi="Arial" w:cs="Arial"/>
        </w:rPr>
      </w:pPr>
    </w:p>
    <w:p w14:paraId="725D2D84">
      <w:pPr>
        <w:spacing/>
        <w:rPr/>
      </w:pPr>
    </w:p>
    <w:sectPr>
      <w:headerReference w:type="default" r:id="rId2"/>
      <w:type w:val="nextPage"/>
      <w:pgSz w:w="11906" w:h="16838"/>
      <w:pgMar w:top="1418" w:right="1418" w:bottom="1418" w:left="1418" w:header="709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2215F68">
    <w:pPr>
      <w:pStyle w:val="Zaglavlje"/>
      <w:spacing/>
      <w:ind w:left="-680"/>
      <w:rPr/>
    </w:pPr>
    <w:r>
      <w:rPr>
        <w:noProof/>
        <w:lang w:val="hr-HR" w:eastAsia="hr-HR"/>
      </w:rPr>
      <w:drawing>
        <wp:inline>
          <wp:extent cx="6978250" cy="989965"/>
          <wp:effectExtent xmlns:wp="http://schemas.openxmlformats.org/drawingml/2006/wordprocessingDrawing" l="0" t="0" r="0" b="635"/>
          <wp:docPr id="2" name="Slika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2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3F50"/>
    <w:lvl w:ilvl="0">
      <w:start w:val="1"/>
      <w:numFmt w:val="bullet"/>
      <w:suff w:val="tab"/>
      <w:lvlText w:val=""/>
      <w:pPr>
        <w:tabs>
          <w:tab w:val="num" w:pos="780"/>
        </w:tabs>
        <w:spacing/>
        <w:ind w:left="7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500"/>
        </w:tabs>
        <w:spacing/>
        <w:ind w:left="150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220"/>
        </w:tabs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40"/>
        </w:tabs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60"/>
        </w:tabs>
        <w:spacing/>
        <w:ind w:left="366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80"/>
        </w:tabs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100"/>
        </w:tabs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20"/>
        </w:tabs>
        <w:spacing/>
        <w:ind w:left="582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540"/>
        </w:tabs>
        <w:spacing/>
        <w:ind w:left="6540" w:hanging="360"/>
      </w:pPr>
      <w:rPr>
        <w:rFonts w:ascii="Wingdings" w:hAnsi="Wingdings" w:hint="default"/>
      </w:rPr>
    </w:lvl>
  </w:abstractNum>
  <w:abstractNum w:abstractNumId="1">
    <w:nsid w:val="07FB5BF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DA80C77"/>
    <w:lvl w:ilvl="0">
      <w:start w:val="10"/>
      <w:numFmt w:val="bullet"/>
      <w:suff w:val="tab"/>
      <w:lvlText w:val="-"/>
      <w:pPr>
        <w:spacing/>
        <w:ind w:left="720" w:hanging="360"/>
      </w:pPr>
      <w:rPr>
        <w:rFonts w:ascii="Cambria" w:hAnsi="Cambri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249E69B7"/>
    <w:lvl w:ilvl="0">
      <w:start w:val="0"/>
      <w:numFmt w:val="bullet"/>
      <w:suff w:val="tab"/>
      <w:lvlText w:val="-"/>
      <w:pPr>
        <w:spacing/>
        <w:ind w:left="644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8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0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24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96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04" w:hanging="360"/>
      </w:pPr>
      <w:rPr>
        <w:rFonts w:ascii="Wingdings" w:hAnsi="Wingdings" w:hint="default"/>
      </w:rPr>
    </w:lvl>
  </w:abstractNum>
  <w:abstractNum w:abstractNumId="4">
    <w:nsid w:val="24EB7659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5">
    <w:nsid w:val="2C265D7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357E60FB"/>
    <w:lvl w:ilvl="0">
      <w:start w:val="6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3A68726A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520609F0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9">
    <w:nsid w:val="67823F3C"/>
    <w:lvl w:ilvl="0">
      <w:start w:val="1"/>
      <w:numFmt w:val="decimal"/>
      <w:suff w:val="tab"/>
      <w:lvlText w:val="%1."/>
      <w:pPr>
        <w:tabs>
          <w:tab w:val="num" w:pos="644"/>
        </w:tabs>
        <w:spacing/>
        <w:ind w:left="644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>
        <w:rFonts w:cs="Times New Roman"/>
      </w:rPr>
    </w:lvl>
  </w:abstractNum>
  <w:abstractNum w:abstractNumId="10">
    <w:nsid w:val="7BDA3907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pPr>
      <w:keepNext/>
      <w:spacing/>
      <w:jc w:val="both"/>
      <w:outlineLvl w:val="0"/>
    </w:pPr>
    <w:rPr>
      <w:i/>
      <w:iCs/>
      <w:sz w:val="20"/>
      <w:szCs w:val="20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pPr>
      <w:keepNext/>
      <w:spacing/>
      <w:jc w:val="center"/>
      <w:outlineLvl w:val="6"/>
    </w:pPr>
    <w:rPr>
      <w:rFonts w:ascii="Arial" w:hAnsi="Arial" w:cs="Arial"/>
      <w:b/>
      <w:bCs/>
      <w:sz w:val="18"/>
      <w:szCs w:val="20"/>
      <w:lang w:val="hr-HR"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Naslov1Char" w:customStyle="1">
    <w:name w:val="Naslov 1 Char"/>
    <w:basedOn w:val="Zadanifontodlomka"/>
    <w:link w:val="Heading1"/>
    <w:rPr>
      <w:rFonts w:ascii="Times New Roman" w:hAnsi="Times New Roman" w:eastAsia="Times New Roman" w:cs="Times New Roman"/>
      <w:i/>
      <w:iCs/>
      <w:sz w:val="20"/>
      <w:szCs w:val="20"/>
      <w:u w:val="single"/>
    </w:rPr>
  </w:style>
  <w:style w:type="character" w:styleId="Naslov7Char" w:customStyle="1">
    <w:name w:val="Naslov 7 Char"/>
    <w:basedOn w:val="Zadanifontodlomka"/>
    <w:link w:val="Heading7"/>
    <w:rPr>
      <w:rFonts w:ascii="Arial" w:hAnsi="Arial" w:eastAsia="Times New Roman" w:cs="Arial"/>
      <w:b/>
      <w:bCs/>
      <w:sz w:val="18"/>
      <w:szCs w:val="20"/>
      <w:lang w:eastAsia="hr-HR"/>
    </w:rPr>
  </w:style>
  <w:style w:type="table" w:styleId="Reetkatablice">
    <w:name w:val="Table Grid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styleId="Bezpopisa1" w:customStyle="1">
    <w:name w:val="Bez popisa1"/>
    <w:next w:val="Bezpopisa"/>
    <w:uiPriority w:val="99"/>
    <w:semiHidden/>
    <w:unhideWhenUsed/>
  </w:style>
  <w:style w:type="character" w:styleId="Hiperveza1" w:customStyle="1">
    <w:name w:val="Hiperveza1"/>
    <w:basedOn w:val="Zadanifontodlomka"/>
    <w:uiPriority w:val="99"/>
    <w:unhideWhenUsed/>
    <w:rPr>
      <w:color w:val="0563C1"/>
      <w:u w:val="single"/>
    </w:rPr>
  </w:style>
  <w:style w:type="character" w:styleId="Brojstranice">
    <w:name w:val="Page Number"/>
    <w:basedOn w:val="Zadanifontodlomka"/>
    <w:rPr>
      <w:rFonts w:cs="Times New Roman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745E6-4504-47E0-8582-8EF00A73779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8</Pages>
  <Words>1912</Words>
  <Characters>10904</Characters>
  <Application>Microsoft Office Word</Application>
  <DocSecurity>0</DocSecurity>
  <Lines>90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Tea Horvat</cp:lastModifiedBy>
  <cp:lastPrinted>2024-08-30T08:12:00Z</cp:lastPrinted>
  <cp:revision>3</cp:revision>
  <dcterms:created xsi:type="dcterms:W3CDTF">2024-11-04T10:35:00Z</dcterms:created>
  <dcterms:modified xsi:type="dcterms:W3CDTF">2024-11-04T10:37:00Z</dcterms:modified>
</cp:coreProperties>
</file>