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943E0">
      <w:pPr>
        <w:ind w:right="-567"/>
        <w:jc w:val="left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KLASA:       </w:t>
      </w:r>
      <w:r>
        <w:rPr>
          <w:rFonts w:eastAsia="Calibri"/>
          <w:noProof/>
          <w:color w:val="000000"/>
          <w:szCs w:val="24"/>
          <w:lang w:val="en-US" w:eastAsia="hr-HR"/>
        </w:rPr>
        <w:t>400-02/24-01/7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</w:t>
      </w:r>
    </w:p>
    <w:p w:rsidR="00000000" w:rsidRDefault="009943E0">
      <w:pPr>
        <w:spacing w:after="211" w:line="268" w:lineRule="auto"/>
        <w:ind w:left="10" w:hanging="1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URBROJ:     </w:t>
      </w:r>
      <w:r>
        <w:rPr>
          <w:rFonts w:eastAsia="Calibri"/>
          <w:noProof/>
          <w:szCs w:val="24"/>
          <w:lang w:val="hr-HR" w:eastAsia="hr-HR"/>
        </w:rPr>
        <w:t>2158-46-24-1</w:t>
      </w:r>
      <w:r>
        <w:rPr>
          <w:rFonts w:eastAsia="Calibri"/>
          <w:szCs w:val="24"/>
        </w:rPr>
        <w:t xml:space="preserve">                                              </w:t>
      </w:r>
    </w:p>
    <w:p w:rsidR="00000000" w:rsidRDefault="009943E0">
      <w:pPr>
        <w:tabs>
          <w:tab w:val="left" w:pos="180"/>
          <w:tab w:val="left" w:pos="1155"/>
        </w:tabs>
        <w:rPr>
          <w:sz w:val="22"/>
          <w:szCs w:val="22"/>
          <w:lang w:eastAsia="hr-HR"/>
        </w:rPr>
      </w:pPr>
      <w:r>
        <w:rPr>
          <w:rFonts w:eastAsia="Calibri"/>
          <w:szCs w:val="22"/>
        </w:rPr>
        <w:t xml:space="preserve">                </w:t>
      </w:r>
      <w:r>
        <w:rPr>
          <w:rFonts w:eastAsia="Calibri"/>
          <w:szCs w:val="22"/>
        </w:rPr>
        <w:t xml:space="preserve">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73.5pt;height:73.5pt">
            <v:imagedata r:id="rId7" o:title=""/>
          </v:shape>
        </w:pict>
      </w: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temelju članka 86. Zakona o proračunu (NN 144/21) te Pravilnika o polugodišnjem i godišnjem izvještaju o izvršenju proračuna (NN 24/13, 102/17, 1/20 i 147/20) te čla</w:t>
      </w:r>
      <w:r>
        <w:rPr>
          <w:rFonts w:ascii="Calibri" w:eastAsia="Calibri" w:hAnsi="Calibri" w:cs="Calibri"/>
          <w:sz w:val="22"/>
          <w:szCs w:val="22"/>
        </w:rPr>
        <w:t xml:space="preserve">nka 55. Statuta </w:t>
      </w:r>
      <w:r>
        <w:rPr>
          <w:rFonts w:ascii="Calibri" w:eastAsia="Calibri" w:hAnsi="Calibri" w:cs="Calibri"/>
          <w:sz w:val="22"/>
          <w:szCs w:val="22"/>
        </w:rPr>
        <w:t>Škole primijenjene umjetnosti i dizajna</w:t>
      </w:r>
      <w:r>
        <w:rPr>
          <w:rFonts w:ascii="Calibri" w:eastAsia="Calibri" w:hAnsi="Calibri" w:cs="Calibri"/>
          <w:sz w:val="22"/>
          <w:szCs w:val="22"/>
        </w:rPr>
        <w:t xml:space="preserve"> Osijek, Školski </w:t>
      </w:r>
      <w:r>
        <w:rPr>
          <w:rFonts w:ascii="Calibri" w:eastAsia="Calibri" w:hAnsi="Calibri" w:cs="Calibri"/>
          <w:sz w:val="22"/>
          <w:szCs w:val="22"/>
        </w:rPr>
        <w:t xml:space="preserve">odbor na sjednici održanoj </w:t>
      </w:r>
      <w:r>
        <w:rPr>
          <w:rFonts w:ascii="Calibri" w:eastAsia="Calibri" w:hAnsi="Calibri" w:cs="Calibri"/>
          <w:sz w:val="22"/>
          <w:szCs w:val="22"/>
        </w:rPr>
        <w:t xml:space="preserve">dana </w:t>
      </w:r>
      <w:r>
        <w:rPr>
          <w:rFonts w:ascii="Calibri" w:eastAsia="Calibri" w:hAnsi="Calibri" w:cs="Calibri"/>
          <w:sz w:val="22"/>
          <w:szCs w:val="22"/>
        </w:rPr>
        <w:t>27.03</w:t>
      </w:r>
      <w:r>
        <w:rPr>
          <w:rFonts w:ascii="Calibri" w:eastAsia="Calibri" w:hAnsi="Calibri" w:cs="Calibri"/>
          <w:sz w:val="22"/>
          <w:szCs w:val="22"/>
        </w:rPr>
        <w:t>.2024.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godine donosi</w:t>
      </w:r>
    </w:p>
    <w:p w:rsidR="00000000" w:rsidRDefault="009943E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GODIŠNJ</w:t>
      </w:r>
      <w:r>
        <w:rPr>
          <w:rFonts w:ascii="Calibri" w:eastAsia="Calibri" w:hAnsi="Calibri" w:cs="Calibri"/>
          <w:b/>
          <w:szCs w:val="24"/>
        </w:rPr>
        <w:t>I</w:t>
      </w:r>
      <w:r>
        <w:rPr>
          <w:rFonts w:ascii="Calibri" w:eastAsia="Calibri" w:hAnsi="Calibri" w:cs="Calibri"/>
          <w:b/>
          <w:szCs w:val="24"/>
        </w:rPr>
        <w:t xml:space="preserve"> IZVJEŠTAJ O IZVRŠENJU FINANCIJSKOG PLANA Z</w:t>
      </w:r>
      <w:r>
        <w:rPr>
          <w:rFonts w:ascii="Calibri" w:eastAsia="Calibri" w:hAnsi="Calibri" w:cs="Calibri"/>
          <w:b/>
          <w:szCs w:val="24"/>
        </w:rPr>
        <w:t>A</w:t>
      </w:r>
      <w:r>
        <w:rPr>
          <w:rFonts w:ascii="Calibri" w:eastAsia="Calibri" w:hAnsi="Calibri" w:cs="Calibri"/>
          <w:b/>
          <w:szCs w:val="24"/>
        </w:rPr>
        <w:t xml:space="preserve"> 202</w:t>
      </w:r>
      <w:r>
        <w:rPr>
          <w:rFonts w:ascii="Calibri" w:eastAsia="Calibri" w:hAnsi="Calibri" w:cs="Calibri"/>
          <w:b/>
          <w:szCs w:val="24"/>
        </w:rPr>
        <w:t>3. GODINU</w:t>
      </w:r>
    </w:p>
    <w:p w:rsidR="00000000" w:rsidRDefault="009943E0">
      <w:pPr>
        <w:jc w:val="center"/>
        <w:rPr>
          <w:rFonts w:ascii="Calibri" w:eastAsia="Calibri" w:hAnsi="Calibri" w:cs="Calibri"/>
        </w:rPr>
      </w:pPr>
    </w:p>
    <w:p w:rsidR="00000000" w:rsidRDefault="009943E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 xml:space="preserve">1. </w:t>
      </w:r>
      <w:r>
        <w:rPr>
          <w:rFonts w:cs="Calibri"/>
          <w:b/>
        </w:rPr>
        <w:t>OPĆI DIO PRORAČUNA</w:t>
      </w:r>
    </w:p>
    <w:p w:rsidR="00000000" w:rsidRDefault="009943E0">
      <w:pPr>
        <w:pStyle w:val="Bezproreda"/>
        <w:ind w:left="720"/>
        <w:jc w:val="center"/>
        <w:rPr>
          <w:rFonts w:cs="Calibri"/>
          <w:b/>
        </w:rPr>
      </w:pPr>
      <w:r>
        <w:rPr>
          <w:rFonts w:cs="Calibri"/>
          <w:b/>
        </w:rPr>
        <w:t xml:space="preserve">A. </w:t>
      </w:r>
      <w:r>
        <w:rPr>
          <w:rFonts w:cs="Calibri"/>
          <w:b/>
        </w:rPr>
        <w:t>SAŽETAK - RAČUNA PRIHODA I RASHOD</w:t>
      </w:r>
      <w:r>
        <w:rPr>
          <w:rFonts w:cs="Calibri"/>
          <w:b/>
        </w:rPr>
        <w:t>A I RAČUNA FINANCIRANJA</w:t>
      </w:r>
    </w:p>
    <w:p w:rsidR="00000000" w:rsidRDefault="009943E0">
      <w:pPr>
        <w:pStyle w:val="Bezproreda"/>
        <w:jc w:val="center"/>
        <w:rPr>
          <w:rFonts w:cs="Calibri"/>
          <w:b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422"/>
        <w:gridCol w:w="422"/>
        <w:gridCol w:w="222"/>
      </w:tblGrid>
      <w:tr w:rsidR="00000000">
        <w:trPr>
          <w:trHeight w:val="67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31.12.2022.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1.417.189,13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1.585.946,00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1.570.709,84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1.417.156,29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1.585.906,00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1.570.670,31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98,83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1.412.372,94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1.407.516,02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.574.324,00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1.526.784,69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108,47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96,98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 RASHODI ZA NABAVU NEFINANCIJSK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4.856,92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30.912,00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20.908,66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430,49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4.816,19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-19.290,00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23.016,49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477,90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</w:tr>
      <w:tr w:rsidR="00000000">
        <w:trPr>
          <w:trHeight w:val="67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31.12.2022.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5 IZDACI ZA FINANCIJSKU IMOVINU 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OTPLATE ZAJMOVA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</w:tr>
      <w:tr w:rsidR="00000000">
        <w:trPr>
          <w:trHeight w:val="67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31.12.2022.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.12.2023.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92 UKUPAN DONOS VI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6.943,70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12.020,33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6.943,70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2,73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sz w:val="20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11.759,89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35.036,82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pStyle w:val="Bezproreda"/>
        <w:jc w:val="center"/>
        <w:rPr>
          <w:rFonts w:cs="Calibri"/>
          <w:b/>
        </w:rPr>
      </w:pPr>
    </w:p>
    <w:p w:rsidR="00000000" w:rsidRDefault="009943E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 xml:space="preserve">B. </w:t>
      </w:r>
      <w:r>
        <w:rPr>
          <w:rFonts w:cs="Calibri"/>
          <w:b/>
        </w:rPr>
        <w:t>OPĆI DIO PRORAČUNA</w:t>
      </w:r>
    </w:p>
    <w:p w:rsidR="00000000" w:rsidRDefault="009943E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>RAČUNA PRIHOD</w:t>
      </w:r>
      <w:r>
        <w:rPr>
          <w:rFonts w:cs="Calibri"/>
          <w:b/>
        </w:rPr>
        <w:t>A</w:t>
      </w:r>
      <w:r>
        <w:rPr>
          <w:rFonts w:cs="Calibri"/>
          <w:b/>
        </w:rPr>
        <w:t xml:space="preserve"> I RASHOD</w:t>
      </w:r>
      <w:r>
        <w:rPr>
          <w:rFonts w:cs="Calibri"/>
          <w:b/>
        </w:rPr>
        <w:t>A</w:t>
      </w: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PRIHODI POSLOVANJA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PREMA EKONOMSKOJ KLASIFIKACIJI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540" w:type="dxa"/>
        <w:tblInd w:w="113" w:type="dxa"/>
        <w:tblLook w:val="04A0" w:firstRow="1" w:lastRow="0" w:firstColumn="1" w:lastColumn="0" w:noHBand="0" w:noVBand="1"/>
      </w:tblPr>
      <w:tblGrid>
        <w:gridCol w:w="640"/>
        <w:gridCol w:w="3219"/>
        <w:gridCol w:w="1733"/>
        <w:gridCol w:w="1713"/>
        <w:gridCol w:w="1713"/>
        <w:gridCol w:w="799"/>
        <w:gridCol w:w="723"/>
      </w:tblGrid>
      <w:tr w:rsidR="00000000">
        <w:trPr>
          <w:trHeight w:val="645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022.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</w:tr>
      <w:tr w:rsidR="00000000">
        <w:trPr>
          <w:trHeight w:val="195"/>
        </w:trPr>
        <w:tc>
          <w:tcPr>
            <w:tcW w:w="3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1.417.189,13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1.585.946,00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1.570.709,84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99,04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1.417.156,29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1.585.906,00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1.570.670,31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99,04</w:t>
            </w: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moći iz inozemstva i od subjekata unutar općeg proračuna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1.224.374,45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373.748,00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1.353.184,29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98,5</w:t>
            </w: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1.224.374,45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1.353.184,29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110,52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pomoći proračunskim korisnic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ima iz proračuna koji im nije nadležan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1.223.514,53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1.352.573,76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859,92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610,53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isima i naknada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20.532,22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25.468,00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25.441,09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99,89</w:t>
            </w: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Prihodi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 posebnim propisima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20.532,22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25.441,09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20.532,22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25.441,09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donacija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14.036,76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23.770,00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24.854,72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104,56</w:t>
            </w: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pr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odaje proizvoda i robe te pruženih usluga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13.461,54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20.806,49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154,56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13.294,31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20.806,49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56,51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75,22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575,22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158.212,86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162.920,00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167.190,21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102,62</w:t>
            </w:r>
          </w:p>
        </w:tc>
      </w:tr>
      <w:tr w:rsidR="0000000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158.212,86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167.190,21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105,67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154.756,58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165.697,21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107,07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iz nad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ležnog proračuna za financiranje rashoda za nabavu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3.456,28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1.493,00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98,82</w:t>
            </w: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98,8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PRIHODI POSLOVANJA PREMA IZVORIMA FINANCIRANJA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716" w:type="dxa"/>
        <w:tblInd w:w="113" w:type="dxa"/>
        <w:tblLook w:val="04A0" w:firstRow="1" w:lastRow="0" w:firstColumn="1" w:lastColumn="0" w:noHBand="0" w:noVBand="1"/>
      </w:tblPr>
      <w:tblGrid>
        <w:gridCol w:w="515"/>
        <w:gridCol w:w="2647"/>
        <w:gridCol w:w="1908"/>
        <w:gridCol w:w="1889"/>
        <w:gridCol w:w="1908"/>
        <w:gridCol w:w="843"/>
        <w:gridCol w:w="770"/>
        <w:gridCol w:w="236"/>
      </w:tblGrid>
      <w:tr w:rsidR="00000000">
        <w:trPr>
          <w:trHeight w:val="562"/>
        </w:trPr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nje / izvršenje 31.12.2023.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/ 2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227"/>
        </w:trPr>
        <w:tc>
          <w:tcPr>
            <w:tcW w:w="31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000000">
        <w:trPr>
          <w:trHeight w:val="364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1.417.189,13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1.585.946,00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1.570.709,84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110,83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99,04</w:t>
            </w:r>
          </w:p>
        </w:tc>
      </w:tr>
      <w:tr w:rsidR="00000000">
        <w:trPr>
          <w:trHeight w:val="42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4.616,36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3.767,00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3.763,82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81,53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ŽUPANIJSKI PRORAČUN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4.616,36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3.767,00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3.763,82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IHODI I PRIMICI - DECENTRALIZACIJA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144.325,97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 DECENTRALIZACIJA - SREDNJE ŠKOLSTVO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144.325,97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PRIMICI - DECENTRALIZACIJA - VIŠAK IZ PRETHODNE GODINE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80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 DECENTRALIZACIJA - VIŠAK IZ PRETHODNE GODINE - SREDNJE ŠKOLSTVO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461,54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21.206,00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20.806,49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154,56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VLASTITI PRIHODI - PRORAČUN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SKI 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13.461,54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21.206,00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20.806,49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20.532,22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182.375,00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187.133,96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911,42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07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- DECENTRALIZACIJA - SREDNJE ŠKOLSTVO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156.907,00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161.692,87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103,05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ZA POSEBNE NAMJENE -  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20.532,22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25.468,00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25.441,09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1.225.336,84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1.375.994,00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1.354.917,81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110,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ŽUPANIJSKI PRORAČUN - SHEMA VOĆE. POVRĆE I MLIJEKO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962,39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1.733,52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180,13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77,18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64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1.224.374,45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1.373.748,00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1.353.18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4.326,46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ŽUPANIJSKI PRORAČUN - EU PROJEKTI - UČIMO ZAJEDNO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4.326,46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64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575,22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157,89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UGOVORI DO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NACIJE - 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575,22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157,89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VEDENE DUGOTRAJNE IMOVINE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80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NEFINANCIJSKE IMOVINE I NADOKNADE ŠTETA S OSNOVA OSIGURANJA-KORISNICI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32,84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39,53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VIŠAK KORIŠTEN ZA POKRIĆE RASHODA</w:t>
      </w:r>
    </w:p>
    <w:p w:rsidR="00000000" w:rsidRDefault="009943E0">
      <w:pPr>
        <w:jc w:val="center"/>
        <w:rPr>
          <w:sz w:val="20"/>
          <w:lang w:eastAsia="hr-HR"/>
        </w:rPr>
      </w:pPr>
      <w:r>
        <w:fldChar w:fldCharType="begin"/>
      </w:r>
      <w:r>
        <w:instrText xml:space="preserve"> LINK Excel.Sheet.12 "C:\\Users\\Računovods</w:instrText>
      </w:r>
      <w:r>
        <w:instrText xml:space="preserve">tvo\\Desktop\\radne tablice izvršenje.xlsx" "List2!R77C1:R83C7" \a \f 4 \h  \* MERGEFORMAT </w:instrText>
      </w:r>
      <w:bookmarkStart w:id="1" w:name="_1751344960"/>
      <w:bookmarkEnd w:id="1"/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1276"/>
        <w:gridCol w:w="1134"/>
        <w:gridCol w:w="850"/>
        <w:gridCol w:w="851"/>
      </w:tblGrid>
      <w:tr w:rsidR="00000000">
        <w:trPr>
          <w:trHeight w:val="1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Skupina/podskupina/odjeljak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Plan tekuće godine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Izvršenje tekuće godine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 xml:space="preserve"> (preth. god.)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19.2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9.290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%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19.290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%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19.290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%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 xml:space="preserve">Višak </w:t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9.290</w:t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%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IZVOR 3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 xml:space="preserve"> - Vlastiti priho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di - višak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10.154,00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10.154,00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%</w:t>
            </w:r>
          </w:p>
        </w:tc>
      </w:tr>
      <w:tr w:rsidR="0000000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IZVOR 4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9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 xml:space="preserve"> - Prihodi za posebne namjene - višak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RASHODI </w:t>
      </w:r>
      <w:r>
        <w:rPr>
          <w:rFonts w:ascii="Calibri" w:eastAsia="Calibri" w:hAnsi="Calibri" w:cs="Calibri"/>
          <w:b/>
          <w:bCs/>
          <w:sz w:val="22"/>
          <w:szCs w:val="22"/>
        </w:rPr>
        <w:t>POSLOVANJA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PREMA EKONOMSKOJ KLASIFIKACIJI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10540" w:type="dxa"/>
        <w:tblInd w:w="113" w:type="dxa"/>
        <w:tblLook w:val="04A0" w:firstRow="1" w:lastRow="0" w:firstColumn="1" w:lastColumn="0" w:noHBand="0" w:noVBand="1"/>
      </w:tblPr>
      <w:tblGrid>
        <w:gridCol w:w="640"/>
        <w:gridCol w:w="3218"/>
        <w:gridCol w:w="1733"/>
        <w:gridCol w:w="1713"/>
        <w:gridCol w:w="1713"/>
        <w:gridCol w:w="800"/>
        <w:gridCol w:w="723"/>
      </w:tblGrid>
      <w:tr w:rsidR="00000000">
        <w:trPr>
          <w:trHeight w:val="645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31.12.2022.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ans za 2023.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</w:tr>
      <w:tr w:rsidR="00000000">
        <w:trPr>
          <w:trHeight w:val="195"/>
        </w:trPr>
        <w:tc>
          <w:tcPr>
            <w:tcW w:w="3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1.412.372,94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07.516,02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1.574.324,00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1.526.784,69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96,98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1.200.039,57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1.369.286,00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1.344.520,86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98,19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994.448,75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1.105.037,42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111,12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959.790,97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1.063.143,95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110,77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pre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kovremeni rad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20.210,58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24.025,73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posebne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uvjete rada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14.447,20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17.867,74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123,68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45.742,16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57.147,96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124,93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45.742,16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57.147,96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124,93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159.848,66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182.335,48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114,07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za obvezno zdravst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veno osiguranje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159.278,21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182.324,80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114,47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570,45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194.544,70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204.792,00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180.753,49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92,9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88,26</w:t>
            </w: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45.381,93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50.173,55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2.950,04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5.910,27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200,35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42.025,66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43.816,70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104,26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384,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442,50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114,97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21,3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89.423,63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88.408,68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8.630,76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6.234,38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72,23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35.685,06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33.082,64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92,71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42.936,30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47.659,50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Materijal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 dijelovi za tekuće i investicijsko održavanje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1.065,53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1.102,36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103,46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822,88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94,76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283,10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235,04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83,02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35.006,70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33.713,6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96,31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3.979,31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4.078,15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102,48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13.227,19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6.839,12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51,71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499,04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10.093,85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10.839,01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107,3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Zakupn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ine i najamnine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2.403,73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2.034,18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84,63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1.600,64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2.959,72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184,91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1.663,64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2.214,86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117,46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1.974,46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1680,96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1.421,84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2.774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195,11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24.732,44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7.262,11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29,36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103,53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105,03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46,45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48,27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6.792,34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3.754,12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55,27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15.526,39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288,26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2.268,69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3.067,93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135,23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12.931,75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99,09</w:t>
            </w: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12.931,75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12.931,75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odi za nabavu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4.856,92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30.912,00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20.908,66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67,64</w:t>
            </w:r>
          </w:p>
        </w:tc>
      </w:tr>
      <w:tr w:rsidR="0000000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4.856,92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30.912,00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20.908,66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67,64</w:t>
            </w: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422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3.707,12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19.905,77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536,96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2.070,65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17.976,14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868,14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Oprema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 održavanje i zaštitu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1.636,47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677,67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41,41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666,96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ička djela i ostale izložbene vrijednosti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1.149,80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1.002,89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87,22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1.149,80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1.002,89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87,22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RASHODI POSLOVANJA PREMA IZVORIMA FINANCIRANJA</w:t>
      </w:r>
    </w:p>
    <w:p w:rsidR="00000000" w:rsidRDefault="009943E0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803" w:type="dxa"/>
        <w:tblInd w:w="113" w:type="dxa"/>
        <w:tblLook w:val="04A0" w:firstRow="1" w:lastRow="0" w:firstColumn="1" w:lastColumn="0" w:noHBand="0" w:noVBand="1"/>
      </w:tblPr>
      <w:tblGrid>
        <w:gridCol w:w="518"/>
        <w:gridCol w:w="2656"/>
        <w:gridCol w:w="1910"/>
        <w:gridCol w:w="1893"/>
        <w:gridCol w:w="1910"/>
        <w:gridCol w:w="901"/>
        <w:gridCol w:w="776"/>
        <w:gridCol w:w="239"/>
      </w:tblGrid>
      <w:tr w:rsidR="00000000">
        <w:trPr>
          <w:trHeight w:val="567"/>
        </w:trPr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vršenje 31.12.2023.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/ 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229"/>
        </w:trPr>
        <w:tc>
          <w:tcPr>
            <w:tcW w:w="31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000000">
        <w:trPr>
          <w:trHeight w:val="3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 RASHODI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1.412.372,94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109,58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</w:tr>
      <w:tr w:rsidR="00000000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4.594,94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3.767,00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3.763,82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81,91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 ŽUPANIJ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SKI PRORAČUN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4.594,94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3.767,00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3.763,82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99,92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 PRIMICI - DECENTRALIZACIJA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150.577,09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8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 DECENTRALIZACIJA - SREDNJE ŠKOLSTVO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150.577,09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12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PRIMICI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 DECENTRALIZACIJA - VIŠAK IZ PRETHODNE GODINE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812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OPĆI PRIHODI I PRIMICI - DECENTRALIZACIJA - VIŠAK IZ PRETHODNE GODINE - SREDNJE ŠKOLSTVO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7.334,88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.360,00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17.546,62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239,22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55,95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VLASTITI PRIHODI - PRORAČUNSKI KOR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7.334,88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31.360,00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17.546,62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55,95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14.265,80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191.511,00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173.252,25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1.214,46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90,47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8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ZA POSEBNE NAMJENE - DECENT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RALIZACIJA - SREDNJE ŠKOLSTVO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156.907,00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155.607,04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ZA POSEBNE NAMJENE -  KORISNICI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14.265,80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34.604,00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17.645,21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50,99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1.227.679,95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1.375.994,00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1.349.082,43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109,89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98,04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8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ŽUPANIJSKI PRORAČUN - SHEMA VOĆE. POVRĆE I MLIJEKO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1.627,56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73,42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1.226.052,39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1.373.748,00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1.347.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433,44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98,08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3.363,38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8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POMOĆI - ŽUPANIJSKI PRORAČUN - EU PROJEKTI - UČIMO ZAJEDNO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3.363,38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575,22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157,89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2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UGOVORI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DONACIJE - KORISNICI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575,22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703,77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157,89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28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UGOTRAJNE IMOVINE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812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PRIHODI OD NEFINANCIJSKE IMOVINE I NADOKNADE ŠTETA S OSNOVA OSIGURANJA-KORISNICI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left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hr-HR"/>
        </w:rPr>
        <w:t>RASHODI PREMA FUNKCIJSKOJ KLASIFIKACIJI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</w:p>
    <w:tbl>
      <w:tblPr>
        <w:tblW w:w="10597" w:type="dxa"/>
        <w:tblInd w:w="113" w:type="dxa"/>
        <w:tblLook w:val="04A0" w:firstRow="1" w:lastRow="0" w:firstColumn="1" w:lastColumn="0" w:noHBand="0" w:noVBand="1"/>
      </w:tblPr>
      <w:tblGrid>
        <w:gridCol w:w="3879"/>
        <w:gridCol w:w="1746"/>
        <w:gridCol w:w="1725"/>
        <w:gridCol w:w="1725"/>
        <w:gridCol w:w="752"/>
        <w:gridCol w:w="770"/>
      </w:tblGrid>
      <w:tr w:rsidR="00000000">
        <w:trPr>
          <w:trHeight w:val="560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31.12.2022.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2023. godinu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31.12.2023.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4 / 2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4 / 3</w:t>
            </w:r>
          </w:p>
        </w:tc>
      </w:tr>
      <w:tr w:rsidR="00000000">
        <w:trPr>
          <w:trHeight w:val="221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000000">
        <w:trPr>
          <w:trHeight w:val="353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1.412.372,94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</w:tr>
      <w:tr w:rsidR="00000000">
        <w:trPr>
          <w:trHeight w:val="368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1.412.372,94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</w:tr>
      <w:tr w:rsidR="00000000">
        <w:trPr>
          <w:trHeight w:val="353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5.7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5.762,00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5.163,99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90,43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89,62</w:t>
            </w:r>
          </w:p>
        </w:tc>
      </w:tr>
      <w:tr w:rsidR="00000000">
        <w:trPr>
          <w:trHeight w:val="353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092 Srednjoškolsko  obrazovanje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1.406.472,76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1.599.223,00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1.542.280,54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109,66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96,44</w:t>
            </w:r>
          </w:p>
        </w:tc>
      </w:tr>
      <w:tr w:rsidR="00000000">
        <w:trPr>
          <w:trHeight w:val="353"/>
        </w:trPr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189,63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131,21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99,13</w:t>
            </w:r>
          </w:p>
        </w:tc>
      </w:tr>
    </w:tbl>
    <w:p w:rsidR="00000000" w:rsidRDefault="009943E0">
      <w:pPr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hr-HR"/>
        </w:rPr>
        <w:t>OPĆI DIO PRORAČUNA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C. </w:t>
      </w:r>
      <w:r>
        <w:rPr>
          <w:rFonts w:ascii="Calibri" w:eastAsia="Calibri" w:hAnsi="Calibri" w:cs="Calibri"/>
          <w:b/>
          <w:bCs/>
          <w:sz w:val="22"/>
          <w:szCs w:val="22"/>
        </w:rPr>
        <w:t>RAČUN FINANCIRANJA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IZVJEŠTAJ RAČUNA FIN</w:t>
      </w:r>
      <w:r>
        <w:rPr>
          <w:rFonts w:ascii="Calibri" w:eastAsia="Calibri" w:hAnsi="Calibri" w:cs="Calibri"/>
          <w:b/>
          <w:bCs/>
          <w:sz w:val="22"/>
          <w:szCs w:val="22"/>
        </w:rPr>
        <w:t>ANCIRANJA PREMA EKONOMSKOJ KLASIFIKACIJI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596" w:type="dxa"/>
        <w:tblInd w:w="113" w:type="dxa"/>
        <w:tblLook w:val="04A0" w:firstRow="1" w:lastRow="0" w:firstColumn="1" w:lastColumn="0" w:noHBand="0" w:noVBand="1"/>
      </w:tblPr>
      <w:tblGrid>
        <w:gridCol w:w="650"/>
        <w:gridCol w:w="2596"/>
        <w:gridCol w:w="1955"/>
        <w:gridCol w:w="1925"/>
        <w:gridCol w:w="1932"/>
        <w:gridCol w:w="769"/>
        <w:gridCol w:w="769"/>
      </w:tblGrid>
      <w:tr w:rsidR="00000000">
        <w:trPr>
          <w:trHeight w:val="528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 / 2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</w:tr>
      <w:tr w:rsidR="00000000">
        <w:trPr>
          <w:trHeight w:val="299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000000">
        <w:trPr>
          <w:trHeight w:val="352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IZVJEŠTAJ RAČUNA FINANCIRANJA PREMA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IZVORIMA FINANCIRANJA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669" w:type="dxa"/>
        <w:tblInd w:w="113" w:type="dxa"/>
        <w:tblLook w:val="04A0" w:firstRow="1" w:lastRow="0" w:firstColumn="1" w:lastColumn="0" w:noHBand="0" w:noVBand="1"/>
      </w:tblPr>
      <w:tblGrid>
        <w:gridCol w:w="654"/>
        <w:gridCol w:w="2615"/>
        <w:gridCol w:w="1969"/>
        <w:gridCol w:w="1938"/>
        <w:gridCol w:w="1945"/>
        <w:gridCol w:w="774"/>
        <w:gridCol w:w="774"/>
      </w:tblGrid>
      <w:tr w:rsidR="00000000">
        <w:trPr>
          <w:trHeight w:val="481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31.12.2022.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 / 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4 / 3</w:t>
            </w:r>
          </w:p>
        </w:tc>
      </w:tr>
      <w:tr w:rsidR="00000000">
        <w:trPr>
          <w:trHeight w:val="320"/>
        </w:trPr>
        <w:tc>
          <w:tcPr>
            <w:tcW w:w="3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000000">
        <w:trPr>
          <w:trHeight w:val="320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hr-HR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 </w:t>
      </w:r>
      <w:r>
        <w:rPr>
          <w:rFonts w:ascii="Calibri" w:eastAsia="Calibri" w:hAnsi="Calibri" w:cs="Calibri"/>
          <w:b/>
          <w:bCs/>
          <w:sz w:val="22"/>
          <w:szCs w:val="22"/>
        </w:rPr>
        <w:t>POSEBNI DIO PRORAČUNA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2020"/>
        <w:gridCol w:w="4212"/>
        <w:gridCol w:w="1701"/>
        <w:gridCol w:w="1560"/>
        <w:gridCol w:w="850"/>
      </w:tblGrid>
      <w:tr w:rsidR="00000000">
        <w:trPr>
          <w:trHeight w:val="45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aziv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2023. godinu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31.12.2023.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  3 / 2</w:t>
            </w:r>
          </w:p>
        </w:tc>
      </w:tr>
      <w:tr w:rsidR="00000000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1.605.236,00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1.547.693,35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96,42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3.763,82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99,92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   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17.546,62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55,95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155.607,04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HODI ZA POSEBNE NAMJENE - OSTALO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34.604,00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17.645,21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,99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73,42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1.373.748,00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1.347.433,44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98,08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157,89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5.412,81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90,02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A1207 04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ORGANIZACIJA I IZVOĐENJE NATJECANJA I SM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99,13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I PRIMICI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99,13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99,13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99,29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98,60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PROGRAMI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PROJEKTI U ODGOJU I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3.349,00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2.153,50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2.153,50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35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osoba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282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K1207 17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RIMICI - ŽUPANIJSKI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73,42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73,42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73,4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73,42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1.648,99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SREDNJEG ŠKOLSTVA PREMA MINIMALNOM STANDARDU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156.907,00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155.607,04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99,17</w:t>
            </w:r>
          </w:p>
        </w:tc>
      </w:tr>
      <w:tr w:rsidR="00000000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K7007 08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DNJA, REKONSTRUKCIJA I OPREMANJE OBJEKATA SREDNJEG ŠKOLSTVA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1.327,0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25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677,67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460,13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A7007 05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SREDNJEG ŠKOLSTVA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Materijalni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25.470,00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3.280,79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2.946,71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7.019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6.015,63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27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768,94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14.518,45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telefona,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3.743,06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5.883,79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3237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2.050,35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1.709,18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1.132,07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651,15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Pristo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451,51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A7007 06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SREDNJEG ŠKOLSTVA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128.810,04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130.110,00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128.810,04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130.110,00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128.810,04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130.110,00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128.810,04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43.816,70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256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za prijevoz, za rad na ter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43.816,70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71.363,34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23.939,55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47.423,79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6.764,12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3.965,88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2.900,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1.442.316,00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1.386.673,50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96,14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SREDNJE ŠKOLSTVO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1.442.316,00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1.386.673,50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31.360,00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17.546,62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55,95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17.099,00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12.185,63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71,27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3.954,93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93,76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3.954,93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3.954,93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8.230,70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63,90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271,35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2.978,62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Uredski materijal i os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2.311,07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298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333,42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Sitni inventar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 auto 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3.112,27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335,09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3233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164,51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265,28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1.223,33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1.755,96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Članari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ne i norme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1.594,01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14.261,00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5.360,99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37,59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Postroj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5.291,26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5.166,39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124,87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 financiranja 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49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34.604,00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17.645,21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50,99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20.236,00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4.201,07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20,76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19.936,00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4.201,07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21,07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1.196,77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Materijal i dijelovi za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i investicijsko održ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2.034,18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2.034,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970,12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970,12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14.368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13.444,14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93,57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14.368,00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13.444,14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93,57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13.287,51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12.620,55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Instru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menti, uređaji i strojevi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666,96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1.373.748,00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1.347.433,44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8,08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1.372.998,00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1.346.822,91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98,09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1.364.574,00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1.340.373,31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98,23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1.104.872,09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1.062.978,62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24.025,73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Plaće za poseb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ne uvjete 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17.867,74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53.193,03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53.193,03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182.308,19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182.297,51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8.178,00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4.939,26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60,40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1.118,87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Materijal 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3.776,39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3.488,13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288,26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99,09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Zatezne kama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610,53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81,40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610,53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610,53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157,89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157,89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4.048,23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157,89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2.648,21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2.648,2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928,98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928,98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financiranja   72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00000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bene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00000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43E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pStyle w:val="Bezproreda"/>
        <w:ind w:left="360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3. </w:t>
      </w:r>
      <w:r>
        <w:rPr>
          <w:rFonts w:cs="Calibri"/>
          <w:b/>
          <w:u w:val="single"/>
        </w:rPr>
        <w:t>OBRAZLOŽENJE GODIŠNJEG IZVJEŠTAJA O IZVRŠENJU FINANCIJSKOG PLANA ZA 2023. GODINU</w:t>
      </w:r>
    </w:p>
    <w:p w:rsidR="00000000" w:rsidRDefault="009943E0">
      <w:pPr>
        <w:pStyle w:val="Bezproreda"/>
        <w:jc w:val="center"/>
        <w:rPr>
          <w:rFonts w:cs="Calibri"/>
        </w:rPr>
      </w:pPr>
    </w:p>
    <w:p w:rsidR="00000000" w:rsidRDefault="009943E0">
      <w:pPr>
        <w:pStyle w:val="Bezproreda"/>
        <w:jc w:val="both"/>
        <w:rPr>
          <w:rFonts w:cs="Calibri"/>
        </w:rPr>
      </w:pPr>
      <w:r>
        <w:rPr>
          <w:rFonts w:cs="Calibri"/>
        </w:rPr>
        <w:t>Izvještaj o izvršenju financijskog plana prati jesu li se i u kojim iznosima ostvarile planirane pozicije prihoda, primitaka</w:t>
      </w:r>
      <w:r>
        <w:rPr>
          <w:rFonts w:cs="Calibri"/>
        </w:rPr>
        <w:t xml:space="preserve">, rashoda, izdataka, viškova i manjkova unutar </w:t>
      </w:r>
      <w:r>
        <w:rPr>
          <w:rFonts w:cs="Calibri"/>
        </w:rPr>
        <w:t xml:space="preserve">promatranog razdoblja. </w:t>
      </w:r>
      <w:r>
        <w:rPr>
          <w:rFonts w:cs="Calibri"/>
        </w:rPr>
        <w:t xml:space="preserve">Sastavlja se unutar jedne godine na temelju financijskog plana. Važeći financijski plan za izradu godišnjeg izvještaja o izvršenju financijskog plana je </w:t>
      </w:r>
      <w:r>
        <w:rPr>
          <w:rFonts w:cs="Calibri"/>
        </w:rPr>
        <w:t>I</w:t>
      </w:r>
      <w:r>
        <w:rPr>
          <w:rFonts w:cs="Calibri"/>
        </w:rPr>
        <w:t>I. rebalans financijsk</w:t>
      </w:r>
      <w:r>
        <w:rPr>
          <w:rFonts w:cs="Calibri"/>
        </w:rPr>
        <w:t>og</w:t>
      </w:r>
      <w:r>
        <w:rPr>
          <w:rFonts w:cs="Calibri"/>
        </w:rPr>
        <w:t xml:space="preserve"> plana z</w:t>
      </w:r>
      <w:r>
        <w:rPr>
          <w:rFonts w:cs="Calibri"/>
        </w:rPr>
        <w:t>a 2023. godinu sa utvrđenim programima, projektima i pokazateljima uspješnosti.</w:t>
      </w:r>
    </w:p>
    <w:p w:rsidR="00000000" w:rsidRDefault="009943E0">
      <w:pPr>
        <w:pStyle w:val="Bezproreda"/>
        <w:jc w:val="both"/>
        <w:rPr>
          <w:rFonts w:cs="Calibri"/>
        </w:rPr>
      </w:pPr>
      <w:r>
        <w:rPr>
          <w:rFonts w:cs="Calibri"/>
        </w:rPr>
        <w:t>Sadržaj, podnošenje i donošenje izvještaja o izvršenju financijskog plana proračunskog korisnika propisani su u čl. 81.- 87. Zakona o pro</w:t>
      </w:r>
      <w:r>
        <w:rPr>
          <w:rFonts w:cs="Calibri"/>
        </w:rPr>
        <w:t xml:space="preserve">računu (Nar. Nov., br. 144/21.), </w:t>
      </w:r>
      <w:r>
        <w:rPr>
          <w:rFonts w:cs="Calibri"/>
        </w:rPr>
        <w:t>a deta</w:t>
      </w:r>
      <w:r>
        <w:rPr>
          <w:rFonts w:cs="Calibri"/>
        </w:rPr>
        <w:t>ljno uređen</w:t>
      </w:r>
      <w:r>
        <w:rPr>
          <w:rFonts w:cs="Calibri"/>
        </w:rPr>
        <w:t>i</w:t>
      </w:r>
      <w:r>
        <w:rPr>
          <w:rFonts w:cs="Calibri"/>
        </w:rPr>
        <w:t xml:space="preserve"> Pravilnikom o polugodišnjem i godišnjem izvještaju o izvršenju proračuna i financijskog plana (Nar.nov.br.85/23).</w:t>
      </w: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 godišnjem izvještaju o izvršenju financijskog plana plan prihoda i primitaka te rashoda i izdataka prikazuje se na razini skup</w:t>
      </w:r>
      <w:r>
        <w:rPr>
          <w:rFonts w:ascii="Calibri" w:eastAsia="Calibri" w:hAnsi="Calibri" w:cs="Calibri"/>
          <w:sz w:val="22"/>
          <w:szCs w:val="22"/>
        </w:rPr>
        <w:t>ine ekonomske klasifikacije (druga razina računskog plana), a njihovo ostvarenje/izvršenje na razini odjeljka ekonomske klasifikacije (četvrta razina računskog plana).</w:t>
      </w: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Godišnji izvještaja o izvršenju Financijskog plana za 2023. sadrži prikaz svih prihoda i</w:t>
      </w:r>
      <w:r>
        <w:rPr>
          <w:rFonts w:ascii="Calibri" w:eastAsia="Calibri" w:hAnsi="Calibri" w:cs="Calibri"/>
          <w:sz w:val="22"/>
          <w:szCs w:val="22"/>
        </w:rPr>
        <w:t xml:space="preserve"> primitaka i rashoda i izdataka u razdoblju za koje se sastavlja, a prikazuje se kroz:</w:t>
      </w:r>
    </w:p>
    <w:p w:rsidR="00000000" w:rsidRDefault="009943E0">
      <w:pPr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Opći dio -     sažetak Računa prihoda i rashoda i Računa financiranja </w:t>
      </w:r>
    </w:p>
    <w:p w:rsidR="00000000" w:rsidRDefault="009943E0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Račun prihoda i rashoda </w:t>
      </w:r>
    </w:p>
    <w:p w:rsidR="00000000" w:rsidRDefault="009943E0">
      <w:pPr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prema ekonomskoj klasifikaciji</w:t>
      </w:r>
    </w:p>
    <w:p w:rsidR="00000000" w:rsidRDefault="009943E0">
      <w:pPr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prema izvorima financ</w:t>
      </w:r>
      <w:r>
        <w:rPr>
          <w:rFonts w:ascii="Calibri" w:eastAsia="Calibri" w:hAnsi="Calibri" w:cs="Calibri"/>
          <w:sz w:val="22"/>
          <w:szCs w:val="22"/>
        </w:rPr>
        <w:t>iranja</w:t>
      </w:r>
    </w:p>
    <w:p w:rsidR="00000000" w:rsidRDefault="009943E0">
      <w:pPr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prema funkcijskoj klasifikaciji</w:t>
      </w:r>
    </w:p>
    <w:p w:rsidR="00000000" w:rsidRDefault="009943E0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Račun financiranja</w:t>
      </w:r>
    </w:p>
    <w:p w:rsidR="00000000" w:rsidRDefault="009943E0">
      <w:pPr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prema ekonomskoj klasifikaciji</w:t>
      </w:r>
    </w:p>
    <w:p w:rsidR="00000000" w:rsidRDefault="009943E0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Posebni dio </w:t>
      </w:r>
    </w:p>
    <w:p w:rsidR="00000000" w:rsidRDefault="009943E0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Izvještaj po programskoj klasifikaciji (bez izvora financiranja)</w:t>
      </w:r>
    </w:p>
    <w:p w:rsidR="00000000" w:rsidRDefault="009943E0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Obrazloženje </w:t>
      </w:r>
    </w:p>
    <w:p w:rsidR="00000000" w:rsidRDefault="009943E0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obrazloženje općeg dijela i posebnog dijela </w:t>
      </w:r>
    </w:p>
    <w:p w:rsidR="00000000" w:rsidRDefault="009943E0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Posebne i</w:t>
      </w:r>
      <w:r>
        <w:rPr>
          <w:rFonts w:ascii="Calibri" w:eastAsia="Calibri" w:hAnsi="Calibri" w:cs="Calibri"/>
          <w:sz w:val="22"/>
          <w:szCs w:val="22"/>
        </w:rPr>
        <w:t>zvještaje</w:t>
      </w: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OBRAZLOŽENJE OPĆEG DIJELA </w:t>
      </w:r>
      <w:r>
        <w:rPr>
          <w:rFonts w:ascii="Calibri" w:eastAsia="Calibri" w:hAnsi="Calibri" w:cs="Calibri"/>
          <w:b/>
          <w:sz w:val="22"/>
          <w:szCs w:val="22"/>
        </w:rPr>
        <w:t>POLUGODIŠNJEG IZVJEŠTAJA O IZVRŠENJU FINANCIJSKOG PLANA ZA 2023. GODINU</w:t>
      </w:r>
    </w:p>
    <w:p w:rsidR="00000000" w:rsidRDefault="009943E0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:rsidR="00000000" w:rsidRDefault="009943E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Obrazloženje općeg dijela godišnjeg izvještaja o izvršenju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inancijskog plana</w:t>
      </w:r>
      <w:r>
        <w:rPr>
          <w:rFonts w:ascii="Calibri" w:eastAsia="Calibri" w:hAnsi="Calibri" w:cs="Calibri"/>
          <w:sz w:val="22"/>
          <w:szCs w:val="22"/>
        </w:rPr>
        <w:t xml:space="preserve"> sastoji se od:</w:t>
      </w:r>
    </w:p>
    <w:p w:rsidR="00000000" w:rsidRDefault="009943E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Obrazloženja ostvarenja prihoda i rashoda, prim</w:t>
      </w:r>
      <w:r>
        <w:rPr>
          <w:rFonts w:ascii="Calibri" w:eastAsia="Calibri" w:hAnsi="Calibri" w:cs="Calibri"/>
          <w:sz w:val="22"/>
          <w:szCs w:val="22"/>
        </w:rPr>
        <w:t>itaka i izdataka u izvještajnom razdoblju</w:t>
      </w:r>
    </w:p>
    <w:p w:rsidR="00000000" w:rsidRDefault="009943E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Obrazloženje prenesenog manjka odnosno viška iz prethodne godine i viška odnosno manjka za prijenos u sljedeću godinu/razdoblje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000000" w:rsidRDefault="009943E0">
      <w:pP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i w:val="0"/>
          <w:iCs w:val="0"/>
          <w:color w:val="auto"/>
        </w:rPr>
      </w:pPr>
    </w:p>
    <w:p w:rsidR="00000000" w:rsidRDefault="009943E0">
      <w:pPr>
        <w:pStyle w:val="Bezproreda"/>
        <w:jc w:val="center"/>
        <w:rPr>
          <w:rFonts w:cs="Calibri"/>
        </w:rPr>
      </w:pPr>
      <w:r>
        <w:rPr>
          <w:rFonts w:cs="Calibri"/>
          <w:b/>
        </w:rPr>
        <w:t>OBRAZLOŽENJE OSTVARENJA PRIHODA I PRIMITAKA, RASHODA I IZDATAKA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 xml:space="preserve">ZA RAZDOBLJE  1.1. </w:t>
      </w:r>
      <w:r>
        <w:rPr>
          <w:rFonts w:cs="Calibri"/>
          <w:b/>
        </w:rPr>
        <w:t>DO 3</w:t>
      </w:r>
      <w:r>
        <w:rPr>
          <w:rFonts w:cs="Calibri"/>
          <w:b/>
        </w:rPr>
        <w:t>0</w:t>
      </w:r>
      <w:r>
        <w:rPr>
          <w:rFonts w:cs="Calibri"/>
          <w:b/>
        </w:rPr>
        <w:t>.</w:t>
      </w:r>
      <w:r>
        <w:rPr>
          <w:rFonts w:cs="Calibri"/>
          <w:b/>
        </w:rPr>
        <w:t>6</w:t>
      </w:r>
      <w:r>
        <w:rPr>
          <w:rFonts w:cs="Calibri"/>
          <w:b/>
        </w:rPr>
        <w:t>.202</w:t>
      </w:r>
      <w:r>
        <w:rPr>
          <w:rFonts w:cs="Calibri"/>
          <w:b/>
        </w:rPr>
        <w:t>3</w:t>
      </w:r>
      <w:r>
        <w:rPr>
          <w:rFonts w:cs="Calibri"/>
        </w:rPr>
        <w:t>.</w:t>
      </w: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rFonts w:cs="Calibri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Škola primijenjene umjetnosti i dizajna</w:t>
      </w:r>
      <w:r>
        <w:rPr>
          <w:rStyle w:val="Neupadljivoisticanje"/>
          <w:i w:val="0"/>
          <w:iCs w:val="0"/>
          <w:color w:val="auto"/>
        </w:rPr>
        <w:t xml:space="preserve"> Osijek u razdoblju 01. siječnja do </w:t>
      </w:r>
      <w:r>
        <w:rPr>
          <w:rStyle w:val="Neupadljivoisticanje"/>
          <w:i w:val="0"/>
          <w:iCs w:val="0"/>
          <w:color w:val="auto"/>
        </w:rPr>
        <w:t>31</w:t>
      </w:r>
      <w:r>
        <w:rPr>
          <w:rStyle w:val="Neupadljivoisticanje"/>
          <w:i w:val="0"/>
          <w:iCs w:val="0"/>
          <w:color w:val="auto"/>
        </w:rPr>
        <w:t xml:space="preserve">. </w:t>
      </w:r>
      <w:r>
        <w:rPr>
          <w:rStyle w:val="Neupadljivoisticanje"/>
          <w:i w:val="0"/>
          <w:iCs w:val="0"/>
          <w:color w:val="auto"/>
        </w:rPr>
        <w:t>prosinca</w:t>
      </w:r>
      <w:r>
        <w:rPr>
          <w:rStyle w:val="Neupadljivoisticanje"/>
          <w:i w:val="0"/>
          <w:iCs w:val="0"/>
          <w:color w:val="auto"/>
        </w:rPr>
        <w:t xml:space="preserve"> 202</w:t>
      </w:r>
      <w:r>
        <w:rPr>
          <w:rStyle w:val="Neupadljivoisticanje"/>
          <w:i w:val="0"/>
          <w:iCs w:val="0"/>
          <w:color w:val="auto"/>
        </w:rPr>
        <w:t>3</w:t>
      </w:r>
      <w:r>
        <w:rPr>
          <w:rStyle w:val="Neupadljivoisticanje"/>
          <w:i w:val="0"/>
          <w:iCs w:val="0"/>
          <w:color w:val="auto"/>
        </w:rPr>
        <w:t xml:space="preserve">. godine ostvarila je ukupne prihode u iznosu </w:t>
      </w:r>
      <w:r>
        <w:rPr>
          <w:rStyle w:val="Neupadljivoisticanje"/>
          <w:i w:val="0"/>
          <w:iCs w:val="0"/>
          <w:color w:val="auto"/>
        </w:rPr>
        <w:t>1.570.709,84</w:t>
      </w:r>
      <w:r>
        <w:rPr>
          <w:rStyle w:val="Neupadljivoisticanje"/>
          <w:i w:val="0"/>
          <w:iCs w:val="0"/>
          <w:color w:val="auto"/>
        </w:rPr>
        <w:t xml:space="preserve"> eur, ra</w:t>
      </w:r>
      <w:r>
        <w:rPr>
          <w:rStyle w:val="Neupadljivoisticanje"/>
          <w:i w:val="0"/>
          <w:iCs w:val="0"/>
          <w:color w:val="auto"/>
        </w:rPr>
        <w:t xml:space="preserve">shodi su izvršeni u iznosu od </w:t>
      </w:r>
      <w:r>
        <w:rPr>
          <w:rStyle w:val="Neupadljivoisticanje"/>
          <w:i w:val="0"/>
          <w:iCs w:val="0"/>
          <w:color w:val="auto"/>
        </w:rPr>
        <w:t>1.547.693,35</w:t>
      </w:r>
      <w:r>
        <w:rPr>
          <w:rStyle w:val="Neupadljivoisticanje"/>
          <w:i w:val="0"/>
          <w:iCs w:val="0"/>
          <w:color w:val="auto"/>
        </w:rPr>
        <w:t xml:space="preserve"> eur</w:t>
      </w:r>
      <w:r>
        <w:rPr>
          <w:rStyle w:val="Neupadljivoisticanje"/>
          <w:i w:val="0"/>
          <w:iCs w:val="0"/>
          <w:color w:val="auto"/>
        </w:rPr>
        <w:t>, te je ostvareni višak za navedeno r</w:t>
      </w:r>
      <w:r>
        <w:rPr>
          <w:rStyle w:val="Neupadljivoisticanje"/>
          <w:i w:val="0"/>
          <w:iCs w:val="0"/>
          <w:color w:val="auto"/>
        </w:rPr>
        <w:t xml:space="preserve">azdoblje u iznosu od </w:t>
      </w:r>
      <w:r>
        <w:rPr>
          <w:rStyle w:val="Neupadljivoisticanje"/>
          <w:i w:val="0"/>
          <w:iCs w:val="0"/>
          <w:color w:val="auto"/>
        </w:rPr>
        <w:t>23.016,49</w:t>
      </w:r>
      <w:r>
        <w:rPr>
          <w:rStyle w:val="Neupadljivoisticanje"/>
          <w:i w:val="0"/>
          <w:iCs w:val="0"/>
          <w:color w:val="auto"/>
        </w:rPr>
        <w:t xml:space="preserve"> eur</w:t>
      </w:r>
      <w:r>
        <w:rPr>
          <w:rStyle w:val="Neupadljivoisticanje"/>
          <w:i w:val="0"/>
          <w:iCs w:val="0"/>
          <w:color w:val="auto"/>
        </w:rPr>
        <w:t xml:space="preserve">.  Ukupni prihodi realizirani su na razini </w:t>
      </w:r>
      <w:r>
        <w:rPr>
          <w:rStyle w:val="Neupadljivoisticanje"/>
          <w:i w:val="0"/>
          <w:iCs w:val="0"/>
          <w:color w:val="auto"/>
        </w:rPr>
        <w:t>99,04</w:t>
      </w:r>
      <w:r>
        <w:rPr>
          <w:rStyle w:val="Neupadljivoisticanje"/>
          <w:i w:val="0"/>
          <w:iCs w:val="0"/>
          <w:color w:val="auto"/>
        </w:rPr>
        <w:t>% u odnosu na planske vrijednosti.  Ukupni rashodi realizirani su na razini</w:t>
      </w:r>
      <w:r>
        <w:rPr>
          <w:rStyle w:val="Neupadljivoisticanje"/>
          <w:i w:val="0"/>
          <w:iCs w:val="0"/>
          <w:color w:val="auto"/>
        </w:rPr>
        <w:t xml:space="preserve"> </w:t>
      </w:r>
      <w:r>
        <w:rPr>
          <w:rStyle w:val="Neupadljivoisticanje"/>
          <w:i w:val="0"/>
          <w:iCs w:val="0"/>
          <w:color w:val="auto"/>
        </w:rPr>
        <w:t>96,42</w:t>
      </w:r>
      <w:r>
        <w:rPr>
          <w:rStyle w:val="Neupadljivoisticanje"/>
          <w:i w:val="0"/>
          <w:iCs w:val="0"/>
          <w:color w:val="auto"/>
        </w:rPr>
        <w:t>% u odnosu na planirano.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b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Na računu 63 Pomoći iz inozemstva i od subjekata unutar općeg prora</w:t>
      </w:r>
      <w:r>
        <w:rPr>
          <w:rStyle w:val="Neupadljivoisticanje"/>
          <w:i w:val="0"/>
          <w:iCs w:val="0"/>
          <w:color w:val="auto"/>
        </w:rPr>
        <w:t xml:space="preserve">čuna u 2023. godini iskazan je realizirani iznos pomoći u iznosu </w:t>
      </w:r>
      <w:r>
        <w:rPr>
          <w:rStyle w:val="Neupadljivoisticanje"/>
          <w:i w:val="0"/>
          <w:iCs w:val="0"/>
          <w:color w:val="auto"/>
        </w:rPr>
        <w:t>1.570.670,31</w:t>
      </w:r>
      <w:r>
        <w:rPr>
          <w:rStyle w:val="Neupadljivoisticanje"/>
          <w:i w:val="0"/>
          <w:iCs w:val="0"/>
          <w:color w:val="auto"/>
        </w:rPr>
        <w:t xml:space="preserve"> </w:t>
      </w:r>
      <w:r>
        <w:rPr>
          <w:rStyle w:val="Neupadljivoisticanje"/>
          <w:i w:val="0"/>
          <w:iCs w:val="0"/>
          <w:color w:val="auto"/>
        </w:rPr>
        <w:t>eur</w:t>
      </w:r>
      <w:r>
        <w:rPr>
          <w:rStyle w:val="Neupadljivoisticanje"/>
          <w:i w:val="0"/>
          <w:iCs w:val="0"/>
          <w:color w:val="auto"/>
        </w:rPr>
        <w:t xml:space="preserve">. </w:t>
      </w:r>
      <w:r>
        <w:rPr>
          <w:rStyle w:val="Neupadljivoisticanje"/>
          <w:i w:val="0"/>
          <w:iCs w:val="0"/>
          <w:color w:val="auto"/>
        </w:rPr>
        <w:t>Unutar ove grupe prihoda evidentirane su promjene na sljedećim računima: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6361 – Tekuće pomoći proračunskim korisnicima iz proračuna koji im nije nadležan – povećanje prihod</w:t>
      </w:r>
      <w:r>
        <w:rPr>
          <w:rStyle w:val="Neupadljivoisticanje"/>
          <w:i w:val="0"/>
          <w:iCs w:val="0"/>
          <w:color w:val="auto"/>
        </w:rPr>
        <w:t>a</w:t>
      </w:r>
      <w:r>
        <w:rPr>
          <w:rStyle w:val="Neupadljivoisticanje"/>
          <w:i w:val="0"/>
          <w:iCs w:val="0"/>
          <w:color w:val="auto"/>
        </w:rPr>
        <w:t xml:space="preserve"> za 10</w:t>
      </w:r>
      <w:r>
        <w:rPr>
          <w:rStyle w:val="Neupadljivoisticanje"/>
          <w:i w:val="0"/>
          <w:iCs w:val="0"/>
          <w:color w:val="auto"/>
        </w:rPr>
        <w:t>,</w:t>
      </w:r>
      <w:r>
        <w:rPr>
          <w:rStyle w:val="Neupadljivoisticanje"/>
          <w:i w:val="0"/>
          <w:iCs w:val="0"/>
          <w:color w:val="auto"/>
        </w:rPr>
        <w:t>55</w:t>
      </w:r>
      <w:r>
        <w:rPr>
          <w:rStyle w:val="Neupadljivoisticanje"/>
          <w:i w:val="0"/>
          <w:iCs w:val="0"/>
          <w:color w:val="auto"/>
        </w:rPr>
        <w:t xml:space="preserve"> </w:t>
      </w:r>
      <w:r>
        <w:rPr>
          <w:rStyle w:val="Neupadljivoisticanje"/>
          <w:i w:val="0"/>
          <w:iCs w:val="0"/>
          <w:color w:val="auto"/>
        </w:rPr>
        <w:t>% radi povećanja osnovice za izračun plaća u državnom i javnom sektoru</w:t>
      </w:r>
      <w:r>
        <w:rPr>
          <w:rStyle w:val="Neupadljivoisticanje"/>
          <w:i w:val="0"/>
          <w:iCs w:val="0"/>
          <w:color w:val="auto"/>
        </w:rPr>
        <w:t>.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6362 – Kapitalne pomoći proračunskim korisnicima iz proračuna koji im nije nadležan – ostvareni iznos predstavlja sredstva primljena za kupnju besplatnih udžbenika za učeni</w:t>
      </w:r>
      <w:r>
        <w:rPr>
          <w:rStyle w:val="Neupadljivoisticanje"/>
          <w:i w:val="0"/>
          <w:iCs w:val="0"/>
          <w:color w:val="auto"/>
        </w:rPr>
        <w:t xml:space="preserve">ke koji ostvaruju to pravo. </w:t>
      </w:r>
      <w:r>
        <w:rPr>
          <w:rStyle w:val="Neupadljivoisticanje"/>
          <w:i w:val="0"/>
          <w:iCs w:val="0"/>
          <w:color w:val="auto"/>
        </w:rPr>
        <w:t xml:space="preserve"> 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Na računu 65 Prihodi od upravnih i administrativnih pristojbi, pristojbi p</w:t>
      </w:r>
      <w:r>
        <w:rPr>
          <w:rStyle w:val="Neupadljivoisticanje"/>
          <w:i w:val="0"/>
          <w:iCs w:val="0"/>
          <w:color w:val="auto"/>
        </w:rPr>
        <w:t>o posebnim propisima i naknada</w:t>
      </w:r>
      <w:r>
        <w:rPr>
          <w:rStyle w:val="Neupadljivoisticanje"/>
          <w:i w:val="0"/>
          <w:iCs w:val="0"/>
          <w:color w:val="auto"/>
        </w:rPr>
        <w:t xml:space="preserve"> iskazani su prihodi od participacija učenika škole. Povećanje od 23,91% rezultat je povećanja školarine. 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color w:val="auto"/>
        </w:rPr>
      </w:pPr>
      <w:r>
        <w:rPr>
          <w:rStyle w:val="Neupadljivoisticanje"/>
          <w:i w:val="0"/>
          <w:color w:val="auto"/>
        </w:rPr>
        <w:t>Račun 66 Prih</w:t>
      </w:r>
      <w:r>
        <w:rPr>
          <w:rStyle w:val="Neupadljivoisticanje"/>
          <w:i w:val="0"/>
          <w:color w:val="auto"/>
        </w:rPr>
        <w:t xml:space="preserve">odi od prodaje proizvoda i robe te pruženih usluga i prihodi od donacija realizirani su u iznosu </w:t>
      </w:r>
      <w:r>
        <w:rPr>
          <w:rStyle w:val="Neupadljivoisticanje"/>
          <w:i w:val="0"/>
          <w:color w:val="auto"/>
        </w:rPr>
        <w:t>24.854,72 eur što je povećanje od 77,07% u odnosu na prethodnu godinu. Najvećim dijelom to je rezultat povećanja vlastitih prihoda nastalih kroz iznajmljivanje</w:t>
      </w:r>
      <w:r>
        <w:rPr>
          <w:rStyle w:val="Neupadljivoisticanje"/>
          <w:i w:val="0"/>
          <w:color w:val="auto"/>
        </w:rPr>
        <w:t xml:space="preserve"> školske dvorane i restorana (54,56% u odnosu na prethodnu godinu) te manjim dijelom zbog povećanja donacija (donacije za terenske nastave te privatne donacije tvrtke za održavanje 25. obljetnice umjetničkog obrazovanja). 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>Na računu 67 Prihodi iz nadležno</w:t>
      </w:r>
      <w:r>
        <w:rPr>
          <w:rStyle w:val="Neupadljivoisticanje"/>
          <w:i w:val="0"/>
          <w:iCs w:val="0"/>
          <w:color w:val="auto"/>
        </w:rPr>
        <w:t xml:space="preserve">g proračuna i od HZZO-a na temelju ugovorenih obveza obuhvaćaju prihode od strane osnivača Osječko-baranjske županije. Iznosom od </w:t>
      </w:r>
      <w:r>
        <w:rPr>
          <w:rStyle w:val="Neupadljivoisticanje"/>
          <w:i w:val="0"/>
          <w:iCs w:val="0"/>
          <w:color w:val="auto"/>
        </w:rPr>
        <w:t>167.190,21</w:t>
      </w:r>
      <w:r>
        <w:rPr>
          <w:rStyle w:val="Neupadljivoisticanje"/>
          <w:i w:val="0"/>
          <w:iCs w:val="0"/>
          <w:color w:val="auto"/>
        </w:rPr>
        <w:t xml:space="preserve"> </w:t>
      </w:r>
      <w:r>
        <w:rPr>
          <w:rStyle w:val="Neupadljivoisticanje"/>
          <w:i w:val="0"/>
          <w:iCs w:val="0"/>
          <w:color w:val="auto"/>
        </w:rPr>
        <w:t xml:space="preserve">eur financirani su rashodi za potrebe redovnog poslovanja škole. 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lastRenderedPageBreak/>
        <w:t>Prihod iskazan na računu 72 predstavlja prihod o</w:t>
      </w:r>
      <w:r>
        <w:rPr>
          <w:rStyle w:val="Neupadljivoisticanje"/>
          <w:i w:val="0"/>
          <w:iCs w:val="0"/>
          <w:color w:val="auto"/>
        </w:rPr>
        <w:t>d prodaje stana.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 xml:space="preserve">31 Rashodi za zaposlene realizirani su u iznosu od </w:t>
      </w:r>
      <w:r>
        <w:rPr>
          <w:rStyle w:val="Neupadljivoisticanje"/>
          <w:i w:val="0"/>
          <w:iCs w:val="0"/>
          <w:color w:val="auto"/>
        </w:rPr>
        <w:t>1</w:t>
      </w:r>
      <w:r>
        <w:rPr>
          <w:rStyle w:val="Neupadljivoisticanje"/>
          <w:i w:val="0"/>
          <w:iCs w:val="0"/>
          <w:color w:val="auto"/>
        </w:rPr>
        <w:t>.</w:t>
      </w:r>
      <w:r>
        <w:rPr>
          <w:rStyle w:val="Neupadljivoisticanje"/>
          <w:i w:val="0"/>
          <w:iCs w:val="0"/>
          <w:color w:val="auto"/>
        </w:rPr>
        <w:t>344.520,86</w:t>
      </w:r>
      <w:r>
        <w:rPr>
          <w:rStyle w:val="Neupadljivoisticanje"/>
          <w:i w:val="0"/>
          <w:iCs w:val="0"/>
          <w:color w:val="auto"/>
        </w:rPr>
        <w:t xml:space="preserve"> </w:t>
      </w:r>
      <w:r>
        <w:rPr>
          <w:rStyle w:val="Neupadljivoisticanje"/>
          <w:i w:val="0"/>
          <w:iCs w:val="0"/>
          <w:color w:val="auto"/>
        </w:rPr>
        <w:t xml:space="preserve">eur </w:t>
      </w:r>
      <w:r>
        <w:rPr>
          <w:rStyle w:val="Neupadljivoisticanje"/>
          <w:i w:val="0"/>
          <w:iCs w:val="0"/>
          <w:color w:val="auto"/>
        </w:rPr>
        <w:t xml:space="preserve">što je na razini </w:t>
      </w:r>
      <w:r>
        <w:rPr>
          <w:rStyle w:val="Neupadljivoisticanje"/>
          <w:i w:val="0"/>
          <w:iCs w:val="0"/>
          <w:color w:val="auto"/>
        </w:rPr>
        <w:t>98,19</w:t>
      </w:r>
      <w:r>
        <w:rPr>
          <w:rStyle w:val="Neupadljivoisticanje"/>
          <w:i w:val="0"/>
          <w:iCs w:val="0"/>
          <w:color w:val="auto"/>
        </w:rPr>
        <w:t>% u odnosu na plan proračuna. Račun 31 obuhvaća troškove plaća za redovan rad zaposlenika Škole, isplatu materijalnih prava te isplatu razlike plaće</w:t>
      </w:r>
      <w:r>
        <w:rPr>
          <w:rStyle w:val="Neupadljivoisticanje"/>
          <w:i w:val="0"/>
          <w:iCs w:val="0"/>
          <w:color w:val="auto"/>
        </w:rPr>
        <w:t xml:space="preserve"> po sudskim presudama za period 12/2015-1/2017.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rFonts w:cs="Calibri"/>
          <w:i w:val="0"/>
        </w:rPr>
      </w:pPr>
    </w:p>
    <w:p w:rsidR="00000000" w:rsidRDefault="009943E0">
      <w:pPr>
        <w:spacing w:line="276" w:lineRule="auto"/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</w:pP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Materijalni rashodi (račun 32) realizirani su u iznosu 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180.753,49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eur odnosno 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ostvareni su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88,26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% u odnosu na tekući plan proračunske godine. Unutar ove grupe rashoda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evidentirane su Naknade troškova zaposle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nicima, Rashodi za materijal i energiju, Rashodi za usluge, Naknade troškova osobama izvan radnog odnosa (Državno natjecanje u slikanju). </w:t>
      </w:r>
    </w:p>
    <w:p w:rsidR="00000000" w:rsidRDefault="009943E0">
      <w:pPr>
        <w:spacing w:line="276" w:lineRule="auto"/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</w:pP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br/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Financijski rashodi (račun 34) - značajno su manje realizirani u odnosu na 2022. godinu kada je isplaćena većina pre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suda za razliku 6% plaće</w:t>
      </w:r>
      <w:r>
        <w:rPr>
          <w:rFonts w:ascii="Calibri" w:eastAsia="Calibri" w:hAnsi="Calibri" w:cs="Calibri"/>
          <w:sz w:val="22"/>
          <w:szCs w:val="22"/>
        </w:rPr>
        <w:t xml:space="preserve"> za razdoblje 12/2015-1/2017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>. U 2023. godini isplaćena je jedna, posljednja presuda</w:t>
      </w:r>
      <w:r>
        <w:rPr>
          <w:rStyle w:val="Neupadljivoisticanje"/>
          <w:rFonts w:ascii="Calibri" w:eastAsia="Calibri" w:hAnsi="Calibri" w:cs="Calibri"/>
          <w:i w:val="0"/>
          <w:color w:val="auto"/>
          <w:sz w:val="22"/>
          <w:szCs w:val="22"/>
        </w:rPr>
        <w:t xml:space="preserve"> te više nema potencijalnih obveza po osnovi sudskih sporova</w:t>
      </w:r>
      <w:r>
        <w:rPr>
          <w:rStyle w:val="Neupadljivoisticanje"/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. 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color w:val="auto"/>
        </w:rPr>
      </w:pPr>
      <w:r>
        <w:rPr>
          <w:rStyle w:val="Neupadljivoisticanje"/>
          <w:i w:val="0"/>
          <w:color w:val="auto"/>
        </w:rPr>
        <w:t>Rashodi za nabavu nefinancijske imovine na razredu 4 izvršeni</w:t>
      </w:r>
      <w:r>
        <w:rPr>
          <w:rStyle w:val="Neupadljivoisticanje"/>
          <w:i w:val="0"/>
          <w:color w:val="auto"/>
        </w:rPr>
        <w:t xml:space="preserve"> su </w:t>
      </w:r>
      <w:r>
        <w:rPr>
          <w:rStyle w:val="Neupadljivoisticanje"/>
          <w:i w:val="0"/>
          <w:color w:val="auto"/>
        </w:rPr>
        <w:t xml:space="preserve">330,49 </w:t>
      </w:r>
      <w:r>
        <w:rPr>
          <w:rStyle w:val="Neupadljivoisticanje"/>
          <w:i w:val="0"/>
          <w:color w:val="auto"/>
        </w:rPr>
        <w:t>% u odnosu na</w:t>
      </w:r>
      <w:r>
        <w:rPr>
          <w:rStyle w:val="Neupadljivoisticanje"/>
          <w:i w:val="0"/>
          <w:color w:val="auto"/>
        </w:rPr>
        <w:t xml:space="preserve"> </w:t>
      </w:r>
      <w:r>
        <w:rPr>
          <w:rStyle w:val="Neupadljivoisticanje"/>
          <w:i w:val="0"/>
          <w:color w:val="auto"/>
        </w:rPr>
        <w:t>2022. godinu.</w:t>
      </w:r>
      <w:r>
        <w:rPr>
          <w:rStyle w:val="Neupadljivoisticanje"/>
          <w:i w:val="0"/>
          <w:color w:val="auto"/>
        </w:rPr>
        <w:t xml:space="preserve"> </w:t>
      </w:r>
      <w:r>
        <w:rPr>
          <w:rStyle w:val="Neupadljivoisticanje"/>
          <w:i w:val="0"/>
          <w:color w:val="auto"/>
        </w:rPr>
        <w:t>Povećanje se odnosi na opremanje učionice arhitekata naprednim računalima prilago</w:t>
      </w:r>
      <w:r>
        <w:rPr>
          <w:rStyle w:val="Neupadljivoisticanje"/>
          <w:i w:val="0"/>
          <w:color w:val="auto"/>
        </w:rPr>
        <w:t xml:space="preserve">đenim potrebama smjera. </w:t>
      </w: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pStyle w:val="Bezproreda"/>
        <w:spacing w:line="276" w:lineRule="auto"/>
        <w:jc w:val="center"/>
        <w:rPr>
          <w:rStyle w:val="Neupadljivoisticanje"/>
          <w:rFonts w:cs="Calibri"/>
          <w:i w:val="0"/>
          <w:iCs w:val="0"/>
          <w:color w:val="auto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OBRAZLOŽENJE POSEBNOG DIJELA GODIŠNJEG IZVJEŠTAJA O IZVRŠENJU FINANCIJSKOG PLANA ZA 2023. GODINU</w:t>
      </w:r>
    </w:p>
    <w:p w:rsidR="00000000" w:rsidRDefault="009943E0">
      <w:pPr>
        <w:jc w:val="center"/>
        <w:rPr>
          <w:rFonts w:ascii="Calibri" w:eastAsia="Calibri" w:hAnsi="Calibri" w:cs="Calibri"/>
          <w:b/>
          <w:szCs w:val="24"/>
        </w:rPr>
      </w:pP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226"/>
        <w:gridCol w:w="8929"/>
      </w:tblGrid>
      <w:tr w:rsidR="00000000">
        <w:trPr>
          <w:trHeight w:val="885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left"/>
              <w:rPr>
                <w:rFonts w:ascii="Calibri Light" w:eastAsia="Calibri Light" w:hAnsi="Calibri Light" w:cs="Calibri Light"/>
                <w:b/>
                <w:bCs/>
                <w:iCs/>
                <w:sz w:val="22"/>
                <w:szCs w:val="18"/>
              </w:rPr>
            </w:pPr>
            <w:r>
              <w:rPr>
                <w:rFonts w:ascii="Calibri Light" w:eastAsia="Calibri Light" w:hAnsi="Calibri Light" w:cs="Calibri Light"/>
                <w:b/>
                <w:bCs/>
                <w:iCs/>
                <w:sz w:val="22"/>
                <w:szCs w:val="18"/>
              </w:rPr>
              <w:t xml:space="preserve">NAZIV </w:t>
            </w:r>
            <w:r>
              <w:rPr>
                <w:rFonts w:ascii="Calibri Light" w:eastAsia="Calibri Light" w:hAnsi="Calibri Light" w:cs="Calibri Light"/>
                <w:b/>
                <w:bCs/>
                <w:iCs/>
                <w:sz w:val="22"/>
                <w:szCs w:val="18"/>
              </w:rPr>
              <w:t>KORISNIKA:</w:t>
            </w:r>
          </w:p>
          <w:p w:rsidR="00000000" w:rsidRDefault="009943E0">
            <w:pPr>
              <w:jc w:val="left"/>
              <w:rPr>
                <w:rFonts w:ascii="Calibri Light" w:eastAsia="Calibri Light" w:hAnsi="Calibri Light" w:cs="Calibri Light"/>
                <w:b/>
                <w:bCs/>
                <w:iCs/>
                <w:sz w:val="22"/>
                <w:szCs w:val="18"/>
              </w:rPr>
            </w:pPr>
          </w:p>
          <w:p w:rsidR="00000000" w:rsidRDefault="009943E0">
            <w:pPr>
              <w:jc w:val="left"/>
              <w:rPr>
                <w:rFonts w:ascii="Calibri Light" w:eastAsia="Calibri Light" w:hAnsi="Calibri Light" w:cs="Calibri Light"/>
                <w:b/>
                <w:bCs/>
                <w:sz w:val="22"/>
                <w:szCs w:val="18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2"/>
                <w:szCs w:val="18"/>
              </w:rPr>
              <w:t>SAŽETAK DJELOKRUGA RADA:</w:t>
            </w: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</w:p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  <w:bCs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szCs w:val="16"/>
              </w:rPr>
              <w:t>IZVRŠENJE 1.-</w:t>
            </w:r>
            <w:r>
              <w:rPr>
                <w:rFonts w:ascii="Calibri Light" w:eastAsia="Calibri Light" w:hAnsi="Calibri Light" w:cs="Calibri Light"/>
                <w:bCs/>
                <w:sz w:val="20"/>
                <w:szCs w:val="16"/>
              </w:rPr>
              <w:t>12</w:t>
            </w:r>
            <w:r>
              <w:rPr>
                <w:rFonts w:ascii="Calibri Light" w:eastAsia="Calibri Light" w:hAnsi="Calibri Light" w:cs="Calibri Light"/>
                <w:bCs/>
                <w:sz w:val="20"/>
                <w:szCs w:val="16"/>
              </w:rPr>
              <w:t>.2023.</w:t>
            </w:r>
          </w:p>
        </w:tc>
        <w:tc>
          <w:tcPr>
            <w:tcW w:w="2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8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ŠKOLA PRIMIJENJENE UMJETNOSTI I DIZAJNA OSIJEK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Škola primijenjene umjetnosti i dizajna Osijek je jedina  škola u regiji koja nudi srednjoškolsko obrazovanje u području likovne um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jetnosti i dizajna te kao takva ima jedinstven profil koji je prepoznatljiv i cijenjen kako od učenika, roditelja tako i od struke i lokalne zajednice. Škola nastoji ravnomjerno uravnotežiti sadržaje općeobrazovnih nastavnih predmeta te stručno-teorijskih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nastavnih predmeta. Nastava se odvija u petodnevnom radnom tjednu, a iznimno se nastava održava i subotom. Nastava se odvija u A i B smjeni. U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smjeni prvi i treći razredi nastavu pohađaju prije podne, a drugi i četvrti poslije podne. U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smjeni drugi i 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etvrti razredi nastavu pohađaju prijepodne, dok prvi i treći razredi  poslije podne. Nastava (redovna, izborna, dopunska, dodatna i fakultativna) se izvodi prema nastavnim planovima i programima, koje je donijelo Ministarstvo znanosti i obrazovanja,   Godi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šnjem planu i programu rada Škole, te Školskom kurikulumu za školsku godinu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Škola broji 328 učenika i ima 16 razrednih odjela. Planira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 je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 se i sljedeće školske godine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nastava odvija u 16 razrednih odjela te da se broj učenika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neće smanjiti.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2" w:name="_Hlk84402559"/>
            <w:r>
              <w:rPr>
                <w:rFonts w:ascii="Calibri" w:eastAsia="Calibri" w:hAnsi="Calibri" w:cs="Calibri"/>
                <w:sz w:val="22"/>
                <w:szCs w:val="22"/>
              </w:rPr>
              <w:t xml:space="preserve">Redovni program odgoja i obrazovanja financira se po modelu propisanom od strane nadležnog Ministarstva i Županije kao osnivača Škole, kao i iz sredstava od participacije učenika u troškovima školovanja sukladno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Zakonu o umjetničkom obrazov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anju.</w:t>
            </w:r>
            <w:bookmarkEnd w:id="2"/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Pregled financijskih sredstava po programima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W w:w="8648" w:type="dxa"/>
              <w:tblInd w:w="2" w:type="dxa"/>
              <w:tblLook w:val="04A0" w:firstRow="1" w:lastRow="0" w:firstColumn="1" w:lastColumn="0" w:noHBand="0" w:noVBand="1"/>
            </w:tblPr>
            <w:tblGrid>
              <w:gridCol w:w="708"/>
              <w:gridCol w:w="3907"/>
              <w:gridCol w:w="1441"/>
              <w:gridCol w:w="1189"/>
              <w:gridCol w:w="1403"/>
            </w:tblGrid>
            <w:tr w:rsidR="00000000">
              <w:trPr>
                <w:trHeight w:val="572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Naziv programa</w:t>
                  </w:r>
                </w:p>
              </w:tc>
              <w:tc>
                <w:tcPr>
                  <w:tcW w:w="1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2023.</w:t>
                  </w:r>
                </w:p>
              </w:tc>
              <w:tc>
                <w:tcPr>
                  <w:tcW w:w="118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1.-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.2023.</w:t>
                  </w:r>
                </w:p>
              </w:tc>
              <w:tc>
                <w:tcPr>
                  <w:tcW w:w="14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(Izvršenje/Plan)</w:t>
                  </w:r>
                </w:p>
              </w:tc>
            </w:tr>
            <w:tr w:rsidR="00000000">
              <w:trPr>
                <w:trHeight w:val="401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1207 RAZVOJ ODGOJNO-OBRAZOVNOG SUSTAVA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6.013,00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5.412,81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90,02%</w:t>
                  </w:r>
                </w:p>
              </w:tc>
            </w:tr>
            <w:tr w:rsidR="00000000">
              <w:trPr>
                <w:trHeight w:val="463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2.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7007 FINANCIRANJE SREDNJEG ŠKOLSTVA PREMA MINIMALN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OM STANDARDU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156.907,00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155.607,00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99,17%</w:t>
                  </w:r>
                </w:p>
              </w:tc>
            </w:tr>
            <w:tr w:rsidR="00000000">
              <w:trPr>
                <w:trHeight w:val="412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3.</w:t>
                  </w: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7011 FINANCIRANJE ŠKOLSTVA IZVAN ŽUPANIJSKOG PRORAČUNA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1.442.316,00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1.386.673,50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96,14%</w:t>
                  </w:r>
                </w:p>
              </w:tc>
            </w:tr>
            <w:tr w:rsidR="00000000">
              <w:trPr>
                <w:trHeight w:val="448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Sveukupno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1.605.236,00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1.547.693,35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96,42 %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36"/>
        <w:gridCol w:w="8742"/>
      </w:tblGrid>
      <w:tr w:rsidR="00000000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NAZIV PROGRAMA: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OPIS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PROGRAMA, OPĆI I POSEBNI CILJEVI: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IZVRŠENJE 1.-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.2023.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OBRAZLOŽENJE: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POKAZATELJI USPJEŠNOSTI: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8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7007 FINANCIRANJE SREDNJEG ŠKOLSTVA PREMA MINIMALNOM STANDARDU</w:t>
            </w:r>
          </w:p>
          <w:p w:rsidR="00000000" w:rsidRDefault="009943E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(Daje se opis programa, definira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 jedan ili više ciljeva koji će dati jasnu sliku o tome što će proračunski korisnik konkretno postići provođenjem programa)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Srednjoškolski odgoj i obrazovanje učenika koje se ostvaruje kroz: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-poticanje i unapređivanje cjelovitog razvoja učenika u skladu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njegovim potrebama, sposobnostima i sklonostima,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-poticanje za sudjelovanje na sportskim aktivnostima, uključivanje kroz natjecanja na školskoj razini, županijskoj i državnoj razini,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-stručno usavršavanje nastavnika, sudjelovanje u radu stručnih vijeća 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različitih povjerenstava, broj  nastavnika koji napreduju u zvanja,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-organiziranje zajedničkih aktivnosti učenika i nastavnika,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-uključivanje učenika u različite oblike rada i aktivnosti kojima se promiče i ostvaruje kreativnost, poduzetnost i inicijativn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ost.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Prioritet Škole je kvalitetno obrazovanje i odgoj učenika što se ostvaruje:</w:t>
            </w:r>
          </w:p>
          <w:p w:rsidR="00000000" w:rsidRDefault="009943E0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stalnim usavršavanjem nastavnika (stručna predavanja, aktivi, stručni skupovi, seminari) i uzastopnim podizanjem standarda nastavnoga procesa na višu razinu;</w:t>
            </w:r>
          </w:p>
          <w:p w:rsidR="00000000" w:rsidRDefault="009943E0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poticanjem učeni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 na izražavanje kreativnosti, talenta i sposobnosti kroz uključivanje u izvannastavne aktivnosti, dodatne aktivnosti, natjecanja te druge školske projekte;</w:t>
            </w:r>
          </w:p>
          <w:p w:rsidR="00000000" w:rsidRDefault="009943E0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organiziranjem zajedničkih aktivnosti učenika i nastavnika tijekom izvannastavnih, izvanškolskih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ktivnosti i projekata te organiziranom terenskom nastavom kojom učenici upoznaju mogućnosti lokane zajednice i kulturnu baštinu, ali i kulturu, umjetnost i običaje drugih zemalja;</w:t>
            </w:r>
          </w:p>
          <w:p w:rsidR="00000000" w:rsidRDefault="009943E0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poticanjem razvoja pozitivnih vrijednosti kroz volonterski rad i razne human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itarne akcije te natjecateljskoga duha kroz priznanja i nagrade najuspješnijima;</w:t>
            </w:r>
          </w:p>
          <w:p w:rsidR="00000000" w:rsidRDefault="009943E0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poticanjem poduzetničkog duha učenika kroz motiviranje za rad u raznovrsnim radionicama i sekcijama, te plasiranjem gotovih proizvoda i umjetnina u  Učeničku zadrugu LUD.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o odgoju i obrazovanju u osnovnoj i srednjoj školi (Narodne novine , br. 87/08, 86/09, 92/10,105/10, 90/11, 5/12,16/12, 86/12, 126/12, 94/13,152/14 , 07/17, 68/18, 98/19, 64/20, 151/22, 155/23, 156/23).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Zakon o proračunu (Narodne novine broj 144/21, Pra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vilnik o proračunskim klasifikacijama (Narodne novine broj 26/10, 120/13 i 1/20), Pravilnik o proračunskom računovodstvu i računskom planu (Narodne novine broj 124/14, 115/15, 87/16, 003/18, 126/19 i 108/20), Zakon o fiskalnoj odgovornosti (Narodne novine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broj 111/18, 83/23)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Informacije u svezi Godišnjeg izvještaja o izvršenju Proračuna Osječko-baranjske županije za 2023. godinu (KLASA: 602-03/24-02/2, URBOJ: 2158-17/10-24-1.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Godišnji plan i program rada za školsku godinu 2022./2023.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Školski kurikulum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Škole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primijenjene umjetnosti i dizajna Osijek za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godinu 2022./2023.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Pregled potrebnih sredstva za provedbu programa:</w:t>
            </w:r>
          </w:p>
          <w:tbl>
            <w:tblPr>
              <w:tblW w:w="8447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3863"/>
              <w:gridCol w:w="1316"/>
              <w:gridCol w:w="1426"/>
              <w:gridCol w:w="1360"/>
            </w:tblGrid>
            <w:tr w:rsidR="00000000">
              <w:trPr>
                <w:trHeight w:val="520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2023.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Izvršenje 1.-6.2023.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Indeks (Izvršenje/Plan)</w:t>
                  </w:r>
                </w:p>
              </w:tc>
            </w:tr>
            <w:tr w:rsidR="00000000">
              <w:trPr>
                <w:trHeight w:val="504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</w:p>
              </w:tc>
              <w:tc>
                <w:tcPr>
                  <w:tcW w:w="3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K7007 08 IZGRADNJA, REKONSTRUKCIJA I OP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REMANJE OBJEKATA SREDNJEG ŠKOLSTVA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1.327,00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1.327,00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100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000000">
              <w:trPr>
                <w:trHeight w:val="520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2.</w:t>
                  </w:r>
                </w:p>
              </w:tc>
              <w:tc>
                <w:tcPr>
                  <w:tcW w:w="3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A7007 05 FINANCIRANJE OPĆIH TROŠKOVA SREDNJEG ŠKOLSTVA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.470,00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25.470,00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100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000000">
              <w:trPr>
                <w:trHeight w:val="536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3.</w:t>
                  </w:r>
                </w:p>
              </w:tc>
              <w:tc>
                <w:tcPr>
                  <w:tcW w:w="3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A7007 06 FINANCIRANJE STVARNIH TROŠKOVA SREDNJEG ŠKOLSTVA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130.110,00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128.810,04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99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000000">
              <w:trPr>
                <w:trHeight w:val="504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7007 FINANCIRANJE SREDNJ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EG ŠKOLSTVA PREMA MINIMALNOM STANDARDU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156.907,00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155.607,04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99,17%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Program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hr-HR"/>
              </w:rPr>
              <w:t>7007 FINANCIRANJE SREDNJEG ŠKOLSTVA PREMA MINIMALNOM STANDARDU</w:t>
            </w:r>
          </w:p>
          <w:p w:rsidR="00000000" w:rsidRDefault="009943E0">
            <w:pPr>
              <w:rPr>
                <w:rFonts w:ascii="Calibri" w:eastAsia="Calibri" w:hAnsi="Calibri" w:cs="Calibri"/>
                <w:b/>
                <w:i/>
                <w:cap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Ostvaren je u iznosu od 155.607,04 eura ili 99,17 % u odnosu na godišnji plan.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Realizacijom programa ostvareni 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sljedeći ciljevi: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osigura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 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uvjet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 izvođenje obveznog programa na propisanoj razini te njegovo obuhvaćanje sadržajima po mjeri učenika.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-trajna i ujednačena kvaliteta komuniciranja i razmjena podataka između škole i Upravnog odjela te daljnja razrad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kriterija i mjerila decentraliziranog financiranja radi postizanja što racionalnijeg i ekonomičnijeg financiranja škole.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-stvaranje kvalitetnih uvjeta za rad škole vodeći brigu o ravnomjernom razvoju koji će omogućiti izvođenje suvremene nastave te pobol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jšati standard postojeće školske zgrade i opreme.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7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2"/>
              <w:gridCol w:w="984"/>
              <w:gridCol w:w="1284"/>
              <w:gridCol w:w="1514"/>
            </w:tblGrid>
            <w:tr w:rsidR="00000000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Pokazatelj uspješnosti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Polazna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vrijednost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Ciljana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vrijednost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2023.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Ostvarena vrijednost 1.-</w:t>
                  </w: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12</w:t>
                  </w:r>
                  <w:r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  <w:t>.2023.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 aktivnost pod 1. – S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tručno usavršavanje djelatnika (broj seminara, simpozija, stručnih skupova)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 aktivnost pod 3.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Održavanje školske dvorane u stanju adekvatnom za odgoj i obrazovanje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Za aktivnost pod 3.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Održavanje školske zgrade u stanju adekvatnom za odgoj i obrazovanje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rPr>
          <w:rFonts w:ascii="Calibri Light" w:eastAsia="Calibri Light" w:hAnsi="Calibri Light" w:cs="Calibri Light"/>
        </w:rPr>
      </w:pPr>
    </w:p>
    <w:p w:rsidR="00000000" w:rsidRDefault="009943E0">
      <w:pPr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p w:rsidR="00000000" w:rsidRDefault="009943E0">
      <w:pPr>
        <w:jc w:val="center"/>
        <w:rPr>
          <w:rFonts w:ascii="Calibri Light" w:eastAsia="Calibri Light" w:hAnsi="Calibri Light" w:cs="Calibri Light"/>
        </w:rPr>
      </w:pPr>
    </w:p>
    <w:tbl>
      <w:tblPr>
        <w:tblW w:w="1100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"/>
        <w:gridCol w:w="2285"/>
        <w:gridCol w:w="122"/>
        <w:gridCol w:w="113"/>
        <w:gridCol w:w="123"/>
        <w:gridCol w:w="8103"/>
        <w:gridCol w:w="141"/>
      </w:tblGrid>
      <w:tr w:rsidR="00000000">
        <w:trPr>
          <w:gridBefore w:val="1"/>
          <w:wBefore w:w="117" w:type="dxa"/>
        </w:trPr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NAZIV PROGRAMA: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OPIS PROGRAMA, OPĆI I POS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EBNI CILJEVI: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IZVRŠENJE 1.-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.-2023.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OBRAZLOŽENJE: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POKAZATELJI USPJEŠNOSTI: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1207 RAZVOJ ODGOJNO-OBRAZOVNOG SUSTAVA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Budući da je Škola, odnosno učenici Škole, redovito sudjeluj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 na natjecanjima, osigurani su troškovi plaća zaposlenika, uredskog materijala i reprezentacije.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Sufinanciranjem obvezne školske lektire od strane Osnivača, cilj je pridonijeti boljoj opremljenosti školskih knjižnica dovoljnim brojem primjeraka školske 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ktire i stručne literature u svrhu kvalitetnije realizacije obrazovnih programa.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Mjerom školska shema voća, povrća i mlijeka , učenicima je od strane Osnivača osigurano svježe voće najmanje jednom tjedno.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Zakon o odgoju i obrazovanju u osnovnoj i srednjo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j školi (Narodne novine broj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br. 87/08, 86/09, 92/10,105/10, 90/11, 5/12,16/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12, 86/12, 126/12, 94/13, 152/14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07/17, 68/18, 98/19, 64/20, 151/22, 155/23, 156/23)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Zakon o ustanovama (Narodne novine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broj 76/93, 29/97,47/99, 35/08,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127/19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151/22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Zakon o pr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oračunu (Narodne novine broj 144/21), Pravilnik o proračunskim klasifikacijama (Narod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 novine broj 26/10, 120/13 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1/20), Pravilnik o proračunskom računovodstvu i računskom planu (Narodne novine broj 124/14, 115/15, 87/16, 003/18, 126/19 i 108/20), Zakon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fiskalnoj odgovornosti (Narodne novine broj 111/18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83/23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Informacije u svezi Godišnjeg izvještaja o izvršenju Proračuna Osječko-baranjske županije za 2023. godinu (KLASA: 602-03/24-02/2, URBOJ: 2158-17/10-24-1.</w:t>
            </w: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Pregled  financijskih sredstava po aktiv</w:t>
            </w: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nostima/projektima unutar programa:</w:t>
            </w: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tbl>
            <w:tblPr>
              <w:tblW w:w="7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5"/>
              <w:gridCol w:w="2331"/>
              <w:gridCol w:w="1605"/>
              <w:gridCol w:w="1605"/>
              <w:gridCol w:w="1701"/>
            </w:tblGrid>
            <w:tr w:rsidR="00000000">
              <w:trPr>
                <w:cantSplit/>
                <w:trHeight w:val="485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R.b.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Plan za 2023.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Izvršenje 1.-</w:t>
                  </w: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12</w:t>
                  </w: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.2023.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Indeks (Izvršenje/Plan)</w:t>
                  </w:r>
                </w:p>
              </w:tc>
            </w:tr>
            <w:tr w:rsidR="00000000">
              <w:trPr>
                <w:cantSplit/>
                <w:trHeight w:val="539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A1207 04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Organizacija i izvođenje natjecanja i smotri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251,00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248,82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99,13 %</w:t>
                  </w:r>
                </w:p>
              </w:tc>
            </w:tr>
            <w:tr w:rsidR="00000000">
              <w:trPr>
                <w:cantSplit/>
                <w:trHeight w:val="413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K1207 17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Sufinanciranje obavezne školske lektire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u osnovnim i srednjim školama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66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166,00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100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000000">
              <w:trPr>
                <w:cantSplit/>
                <w:trHeight w:val="485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T1207 20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Shema – voće, povrće i mlijeko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2.246,00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1.648,99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73,42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000000">
              <w:trPr>
                <w:cantSplit/>
                <w:trHeight w:val="468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A1207 33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Programi i projekti u odgoju i obrazovanju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3.350,00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3.349,00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99,97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000000">
              <w:trPr>
                <w:cantSplit/>
                <w:trHeight w:val="276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6.013,00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5.412,81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90,02%</w:t>
                  </w:r>
                </w:p>
              </w:tc>
            </w:tr>
          </w:tbl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1207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Razvoj odgojno-obrazovnog sustava ostvaren je u iznosu od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5.412,81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eura ili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90,02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% u odnosu na godišnji plan. 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Aktivnosti i projekti izvršeni su u skladu sa planiranom dinamikom.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Aktivnost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A1207 04 ORGANIZACIJA I IZVOĐENJE NATJECANJA I SMOTRI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izvršena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je u cijelosti jer je održano županijsko natjecanje LIK 2023.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Aktivnost A1707 33 PROGRAMI I PROJEKTU U ODGOJU I OBRAZOVANJU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 u sklopu programa izrađena je scenografija za predstavu Orašar te organizirano državno natjecanje u slikanju.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Aktivnost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T1207 20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SHEMA - VOĆE, POVRĆE I MLIJEKO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izvršava se u skladu s planiranom dinamikom projekta.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Izuzetak je aktivnosti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K1207 17 SUFINANCIRANJE OBAVEZNE ŠKOLSKE LEKTIRE U OSNOVNIM I SREDNJIM ŠKOLAMA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kod koje se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realizacija 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vrst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rashoda očekuje u drugom dijelu god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ine.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tbl>
            <w:tblPr>
              <w:tblW w:w="7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66"/>
              <w:gridCol w:w="1330"/>
              <w:gridCol w:w="1113"/>
              <w:gridCol w:w="1378"/>
            </w:tblGrid>
            <w:tr w:rsidR="00000000">
              <w:trPr>
                <w:cantSplit/>
                <w:trHeight w:val="659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Polazna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Ciljana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vrijednost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Ostvarena vrijednost 1.-</w:t>
                  </w: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12</w:t>
                  </w: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.2023.</w:t>
                  </w:r>
                </w:p>
              </w:tc>
            </w:tr>
            <w:tr w:rsidR="00000000">
              <w:trPr>
                <w:cantSplit/>
                <w:trHeight w:val="642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Za aktivnost pod 4.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Broj djece koja će sudjelovati na državnom natjecanju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000000">
              <w:trPr>
                <w:cantSplit/>
                <w:trHeight w:val="659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Za aktivnost pod 1.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Broj djece koja će sudjelovati na županijs</w:t>
                  </w: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kom natjecanju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74</w:t>
                  </w:r>
                </w:p>
              </w:tc>
            </w:tr>
            <w:tr w:rsidR="00000000">
              <w:trPr>
                <w:cantSplit/>
                <w:trHeight w:val="439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Za aktivnost pod 2.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Kupnja knjiga za obveznu školsku lektiru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</w:tr>
            <w:tr w:rsidR="00000000">
              <w:trPr>
                <w:cantSplit/>
                <w:trHeight w:val="659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Za aktivnost pod 3. –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Za svakog učenika osigurano svježe voće, povrće ili mlijeko minimalno jednom tjedno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328</w:t>
                  </w:r>
                </w:p>
              </w:tc>
            </w:tr>
            <w:tr w:rsidR="00000000">
              <w:trPr>
                <w:cantSplit/>
                <w:trHeight w:val="699"/>
              </w:trPr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Za aktivnost pod 4. – 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Izrađena scenografij</w:t>
                  </w:r>
                  <w:r>
                    <w:rPr>
                      <w:rFonts w:ascii="Calibri" w:eastAsia="Calibri" w:hAnsi="Calibri" w:cs="Calibri"/>
                      <w:i/>
                      <w:sz w:val="16"/>
                      <w:szCs w:val="16"/>
                    </w:rPr>
                    <w:t>a predstave „Orašar“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20"/>
                    </w:rPr>
                    <w:t>1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000000">
        <w:trPr>
          <w:gridAfter w:val="1"/>
          <w:wAfter w:w="141" w:type="dxa"/>
        </w:trPr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pStyle w:val="Naslov1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  <w:u w:val="none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OPIS PROGRAMA, OPĆI I POSEBNI CILJEVI: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IZVRŠENJE 1.-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.2023.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OBRAZLOŽENJE: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POKAZATELJI USPJEŠNOSTI:</w:t>
            </w:r>
          </w:p>
          <w:p w:rsidR="00000000" w:rsidRDefault="009943E0">
            <w:pPr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9943E0">
            <w:pPr>
              <w:jc w:val="center"/>
              <w:rPr>
                <w:rFonts w:ascii="Calibri" w:eastAsia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aps/>
                <w:sz w:val="22"/>
                <w:szCs w:val="22"/>
              </w:rPr>
              <w:t>7011 FINA</w:t>
            </w:r>
            <w:r>
              <w:rPr>
                <w:rFonts w:ascii="Calibri" w:eastAsia="Calibri" w:hAnsi="Calibri" w:cs="Calibri"/>
                <w:b/>
                <w:caps/>
                <w:sz w:val="22"/>
                <w:szCs w:val="22"/>
              </w:rPr>
              <w:t>NCIRANJE ŠKOLSTVA IZVAN ŽUPANIJSKOG PRORAČUNA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Djelatnost srednjoškolskog odgoja i obrazovanja ostvaruje se u skladu s odredbama Zakona o odgoju i obrazovanju u osnovnoj i srednjoj školi podzakonskim aktima (Pravilnicima), Zakona o ustanovama, naputcima sa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vjetnika Agencije za odgoj i obrazovanje, odnosno voditelja Županijskih stručnih vijeća te Upravnog odjela za obrazovanje i mlade Osječko-baranjske županije.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Kroz navedeni program (izvor financiranje 5410) cilj je osigurati plaće sa svim doprinosima za sv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djelatnike škole. Osim toga, osigurani su dodaci u vidu božićnice, regresa, otpremnina, pomoći za dugotrajno bolovanje i sl.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Kroz izvor 3210 navedenog programa cilj je unaprjeđivati nastavu kontinuiranim ulaganjem u školsku opremu te njezino održavanje.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Programom 7011 Škola primijenjene umjetnosti i dizajna također ostvaruje prihode iz izvora 4910 (Prihod za posebne namjene). Većina prihoda ostvarena je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kroz participacije učenika i namijenjena je za nastavne materijale pa je shodno tome cilj osigurati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kvalitetnu nastavu svim učenicima</w:t>
            </w: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Zakon o </w:t>
            </w: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ustanovama (Narodne novine broj 76/93, 29/97,47/99, 35/08, 127/19, 151/22)</w:t>
            </w: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Zakon o proračunu (Narodne novine broj 144/21), Pravilnik o proračunskim klasifikacijama (Narodne novine broj 26/10, 120/13 i 1/20), Pravilnik o proračunskom računovodstvu i računsk</w:t>
            </w: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om planu (Narodne novine broj 124/14, 115/15, 87/16, 003/18, 126/19 i 108/20), Zakon o fiskalnoj odgovornosti (Narodne novine broj 111/18, 83/23)</w:t>
            </w:r>
          </w:p>
          <w:p w:rsidR="00000000" w:rsidRDefault="009943E0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Informacije u svezi Godišnjeg izvještaja o izvršenju Proračuna Osječko-baranjske županije za 2023. godinu (KLA</w:t>
            </w:r>
            <w:r>
              <w:rPr>
                <w:rFonts w:ascii="Calibri" w:eastAsia="Calibri" w:hAnsi="Calibri" w:cs="Calibri"/>
                <w:iCs/>
                <w:sz w:val="22"/>
                <w:szCs w:val="22"/>
              </w:rPr>
              <w:t>SA: 602-03/24-02/2, URBOJ: 2158-17/10-24-1.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000000" w:rsidRDefault="009943E0">
            <w:pPr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Pregled financijskih sredstava po aktivnostima/projektima unutar programa:</w:t>
            </w:r>
          </w:p>
          <w:tbl>
            <w:tblPr>
              <w:tblW w:w="7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3"/>
              <w:gridCol w:w="2322"/>
              <w:gridCol w:w="1599"/>
              <w:gridCol w:w="1599"/>
              <w:gridCol w:w="1694"/>
            </w:tblGrid>
            <w:tr w:rsidR="00000000">
              <w:trPr>
                <w:cantSplit/>
                <w:trHeight w:val="454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R.b.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  <w:t>Izvršenje 1.-</w:t>
                  </w:r>
                  <w:r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  <w:t>12</w:t>
                  </w:r>
                  <w:r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  <w:t>.2023.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 w:val="0"/>
                      <w:sz w:val="16"/>
                      <w:szCs w:val="16"/>
                    </w:rPr>
                    <w:t>Indeks (Izvršenje/Plan)</w:t>
                  </w:r>
                </w:p>
              </w:tc>
            </w:tr>
            <w:tr w:rsidR="00000000">
              <w:trPr>
                <w:cantSplit/>
                <w:trHeight w:val="298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Izvor 5410 - Pomoći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1.373.748,00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1.347.433,44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98,08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  <w:tr w:rsidR="00000000">
              <w:trPr>
                <w:cantSplit/>
                <w:trHeight w:val="405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Izvor 4910 – Prihodi za posebne namjene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34.604,00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17.645,21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50,99%</w:t>
                  </w:r>
                </w:p>
              </w:tc>
            </w:tr>
            <w:tr w:rsidR="00000000">
              <w:trPr>
                <w:cantSplit/>
                <w:trHeight w:val="519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Izvor 3210 – vlastiti prihodi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31.360,00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17.546,62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55,95%</w:t>
                  </w:r>
                </w:p>
              </w:tc>
            </w:tr>
            <w:tr w:rsidR="00000000">
              <w:trPr>
                <w:cantSplit/>
                <w:trHeight w:val="493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Izvor 6210 - donacije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2.564,00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4.048,23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157,89%</w:t>
                  </w:r>
                </w:p>
              </w:tc>
            </w:tr>
            <w:tr w:rsidR="00000000">
              <w:trPr>
                <w:cantSplit/>
                <w:trHeight w:val="250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Izvor 7210 – prihodi od nefinancijske imovine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000000">
              <w:trPr>
                <w:cantSplit/>
                <w:trHeight w:val="174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Ukupno pr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ogram: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1.442.316,00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1.386.673,50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96,14%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lastRenderedPageBreak/>
              <w:t xml:space="preserve">Program 7011 FINANCIRANJE ŠKOLSTVA IZVAN ŽUPANIJSKOG PRORAČUNA ostvaren je u iznosu od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1.386.673,50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eura ili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96,14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% u odnosu na godišnji plan.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Aktivnosti i projekti izvršeni su u skladu sa planiranom dinamikom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Škola ne provodi projekte financirane izvan županijskog proračuna te takve pokazatelje uspješnosti nema definirane.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Realizacijom programa ostvareni su sljedeći ciljevi: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-stručno i kvalitetno nastavno osoblje koje se potiče na daljnje usavršavanje kroz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edukacije i cjeloživotno učenje, sudjelovanje u radu stručnih vijeća i različitih povjerenstava te napredovanja u zvanja.</w:t>
            </w:r>
          </w:p>
          <w:p w:rsidR="00000000" w:rsidRDefault="009943E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-održane su aktivnosti vezane uz obilježavanje brojnih datuma i projektnih mogućnosti, nastavnike potičemo na potrebu stalnog stručnog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usavršavanja. Neke oblike i sami organiziramo u okviru Nastavničkog i stručnih vijeća, a na neke usmjeravamo, prije svih na one koje organizira i provodi Agencija za odgoj i obrazovanje za koje postoji obveza, te na one koje su u domeni različitih stručni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 društava na nacionalnoj razini.</w:t>
            </w: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21"/>
              <w:gridCol w:w="1431"/>
              <w:gridCol w:w="1443"/>
              <w:gridCol w:w="1579"/>
            </w:tblGrid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Polazna</w:t>
                  </w:r>
                </w:p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Ciljana</w:t>
                  </w:r>
                </w:p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vrijednost</w:t>
                  </w:r>
                </w:p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0000" w:rsidRDefault="009943E0">
                  <w:pPr>
                    <w:pStyle w:val="Naslov7"/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Ostvarena vrijednost 1.-12.2023.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i/>
                      <w:sz w:val="16"/>
                      <w:szCs w:val="16"/>
                    </w:rPr>
                    <w:t>Projekt terenske nastave – broj učenika koji sudjeluje u projektu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 w:rsidR="00000000" w:rsidRDefault="009943E0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i/>
                      <w:sz w:val="16"/>
                      <w:szCs w:val="16"/>
                    </w:rPr>
                    <w:t>Projekt terenske nastave – broj nastavnika koji sudjeluje u projektu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  <w:t>Za aktivnost pod 7. –</w:t>
                  </w:r>
                </w:p>
                <w:p w:rsidR="00000000" w:rsidRDefault="009943E0">
                  <w:pP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bCs/>
                      <w:i/>
                      <w:iCs/>
                      <w:sz w:val="16"/>
                      <w:szCs w:val="16"/>
                    </w:rPr>
                    <w:t>Organizirana proslava 25 Godina umjetničkog obrazovanja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 xml:space="preserve">Za aktivnost pod 7. – </w:t>
                  </w:r>
                </w:p>
                <w:p w:rsidR="00000000" w:rsidRDefault="009943E0">
                  <w:pPr>
                    <w:rPr>
                      <w:rFonts w:ascii="Calibri Light" w:eastAsia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i/>
                      <w:sz w:val="16"/>
                      <w:szCs w:val="16"/>
                    </w:rPr>
                    <w:t>Osigurani nastavni materijali za učenike (izvor 4910)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328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>Za akti</w:t>
                  </w: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 xml:space="preserve">vnost pod 7. – </w:t>
                  </w:r>
                </w:p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i/>
                      <w:sz w:val="16"/>
                      <w:szCs w:val="16"/>
                    </w:rPr>
                    <w:t>Postupno i kontinuirano unaprjeđivanje kvalitete nastave kroz realizaciju naprednijih informatičkih rješenja (kupnju računala iz izvora 4910)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8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 xml:space="preserve">Za aktivnost pod 7. – </w:t>
                  </w:r>
                </w:p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i/>
                      <w:sz w:val="16"/>
                      <w:szCs w:val="16"/>
                    </w:rPr>
                    <w:t>Postupno i kontinuirano unaprjeđivanje kvalitete nastave kroz realiz</w:t>
                  </w:r>
                  <w:r>
                    <w:rPr>
                      <w:rFonts w:ascii="Calibri Light" w:eastAsia="Calibri Light" w:hAnsi="Calibri Light" w:cs="Calibri Light"/>
                      <w:i/>
                      <w:sz w:val="16"/>
                      <w:szCs w:val="16"/>
                    </w:rPr>
                    <w:t>aciju naprednijih informatičkih rješenja (kupnju računala iz izvora 3210)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  <w:t xml:space="preserve">Za aktivnost pod 6. – </w:t>
                  </w:r>
                </w:p>
                <w:p w:rsidR="00000000" w:rsidRDefault="009943E0">
                  <w:pPr>
                    <w:rPr>
                      <w:rFonts w:ascii="Calibri Light" w:eastAsia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eastAsia="Calibri Light" w:hAnsi="Calibri Light" w:cs="Calibri Light"/>
                      <w:i/>
                      <w:iCs/>
                      <w:sz w:val="16"/>
                      <w:szCs w:val="16"/>
                    </w:rPr>
                    <w:t>Stručne ekskurzije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0000" w:rsidRDefault="009943E0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:rsidR="00000000" w:rsidRDefault="009943E0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Podnoje"/>
        <w:jc w:val="center"/>
        <w:rPr>
          <w:rFonts w:ascii="Calibri" w:hAnsi="Calibri" w:cs="Calibri"/>
          <w:sz w:val="22"/>
          <w:szCs w:val="22"/>
        </w:rPr>
      </w:pPr>
    </w:p>
    <w:p w:rsidR="00000000" w:rsidRDefault="009943E0">
      <w:pPr>
        <w:pStyle w:val="Bezproreda"/>
        <w:jc w:val="center"/>
        <w:rPr>
          <w:rFonts w:cs="Calibri"/>
          <w:b/>
        </w:rPr>
      </w:pPr>
      <w:r>
        <w:rPr>
          <w:rFonts w:cs="Calibri"/>
          <w:b/>
        </w:rPr>
        <w:t>POSEBNI IZVJEŠTAJI U POL</w:t>
      </w:r>
      <w:r>
        <w:rPr>
          <w:rFonts w:cs="Calibri"/>
          <w:b/>
        </w:rPr>
        <w:t>U</w:t>
      </w:r>
      <w:r>
        <w:rPr>
          <w:rFonts w:cs="Calibri"/>
          <w:b/>
        </w:rPr>
        <w:t>GODIŠNJEM IZVJEŠTAJU O IZVRŠENJU FINANCIJSKOG PLANA</w:t>
      </w:r>
    </w:p>
    <w:p w:rsidR="00000000" w:rsidRDefault="009943E0">
      <w:pPr>
        <w:pStyle w:val="000012"/>
        <w:spacing w:befor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Škola nema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zaduživanj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a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na domaćem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i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stranom tržištu novca i kapitala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, nije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koristila sredstava fondova Europske unije,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</w:rPr>
        <w:t>nema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danih zajmovima i potraživanja po danim zajmovima, nema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dospjelih obveza i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potencijalnih obveza po osnovi sudskih sporova.</w:t>
      </w:r>
    </w:p>
    <w:p w:rsidR="00000000" w:rsidRDefault="009943E0">
      <w:pPr>
        <w:pStyle w:val="Bezproreda"/>
        <w:spacing w:line="276" w:lineRule="auto"/>
        <w:jc w:val="both"/>
        <w:rPr>
          <w:rStyle w:val="Neupadljivoisticanje"/>
          <w:i w:val="0"/>
          <w:iCs w:val="0"/>
          <w:color w:val="auto"/>
        </w:rPr>
      </w:pPr>
      <w:r>
        <w:rPr>
          <w:rStyle w:val="Neupadljivoisticanje"/>
          <w:i w:val="0"/>
          <w:iCs w:val="0"/>
          <w:color w:val="auto"/>
        </w:rPr>
        <w:t xml:space="preserve">Iznos nenaplaćenih potraživanja za vlastite </w:t>
      </w:r>
      <w:r>
        <w:rPr>
          <w:rStyle w:val="Neupadljivoisticanje"/>
          <w:i w:val="0"/>
          <w:iCs w:val="0"/>
          <w:color w:val="auto"/>
        </w:rPr>
        <w:t xml:space="preserve">prihode na dan </w:t>
      </w:r>
      <w:r>
        <w:rPr>
          <w:rStyle w:val="Neupadljivoisticanje"/>
          <w:i w:val="0"/>
          <w:iCs w:val="0"/>
          <w:color w:val="auto"/>
        </w:rPr>
        <w:t>31.12.</w:t>
      </w:r>
      <w:r>
        <w:rPr>
          <w:rStyle w:val="Neupadljivoisticanje"/>
          <w:i w:val="0"/>
          <w:iCs w:val="0"/>
          <w:color w:val="auto"/>
        </w:rPr>
        <w:t xml:space="preserve">2023. godine iznosi </w:t>
      </w:r>
      <w:r>
        <w:rPr>
          <w:rStyle w:val="Neupadljivoisticanje"/>
          <w:i w:val="0"/>
          <w:iCs w:val="0"/>
          <w:color w:val="auto"/>
        </w:rPr>
        <w:t>3.163,96</w:t>
      </w:r>
      <w:r>
        <w:rPr>
          <w:rStyle w:val="Neupadljivoisticanje"/>
          <w:i w:val="0"/>
          <w:iCs w:val="0"/>
          <w:color w:val="auto"/>
        </w:rPr>
        <w:t xml:space="preserve"> eur, a odnosi se na potraživanja za prihode od pruženih usluga. Za sva potraživanja se pravovremeno poduzimaju mjere naplate.</w:t>
      </w:r>
      <w:r>
        <w:rPr>
          <w:rStyle w:val="Neupadljivoisticanje"/>
          <w:i w:val="0"/>
          <w:iCs w:val="0"/>
          <w:color w:val="auto"/>
        </w:rPr>
        <w:t xml:space="preserve"> Iznos dospjelih potraživanja na dan </w:t>
      </w:r>
      <w:r>
        <w:rPr>
          <w:rStyle w:val="Neupadljivoisticanje"/>
          <w:i w:val="0"/>
          <w:iCs w:val="0"/>
          <w:color w:val="auto"/>
        </w:rPr>
        <w:t>31.12</w:t>
      </w:r>
      <w:r>
        <w:rPr>
          <w:rStyle w:val="Neupadljivoisticanje"/>
          <w:i w:val="0"/>
          <w:iCs w:val="0"/>
          <w:color w:val="auto"/>
        </w:rPr>
        <w:t>.2023. iznosi 0,00 eur.</w:t>
      </w:r>
    </w:p>
    <w:p w:rsidR="00000000" w:rsidRDefault="009943E0">
      <w:pPr>
        <w:pStyle w:val="Bezproreda"/>
        <w:jc w:val="center"/>
        <w:rPr>
          <w:rFonts w:cs="Calibri"/>
        </w:rPr>
      </w:pPr>
    </w:p>
    <w:p w:rsidR="00000000" w:rsidRDefault="009943E0">
      <w:pPr>
        <w:pStyle w:val="Bezproreda"/>
        <w:jc w:val="right"/>
        <w:rPr>
          <w:rFonts w:cs="Calibri"/>
        </w:rPr>
      </w:pPr>
    </w:p>
    <w:p w:rsidR="00000000" w:rsidRDefault="009943E0">
      <w:pPr>
        <w:pStyle w:val="Bezproreda"/>
        <w:jc w:val="right"/>
        <w:rPr>
          <w:rFonts w:cs="Calibri"/>
        </w:rPr>
      </w:pPr>
      <w:r>
        <w:rPr>
          <w:rFonts w:cs="Calibri"/>
        </w:rPr>
        <w:t>R</w:t>
      </w:r>
      <w:r>
        <w:rPr>
          <w:rFonts w:cs="Calibri"/>
        </w:rPr>
        <w:t>AVNATELJ</w:t>
      </w:r>
      <w:r>
        <w:rPr>
          <w:rFonts w:cs="Calibri"/>
        </w:rPr>
        <w:t>ICA</w:t>
      </w:r>
      <w:r>
        <w:rPr>
          <w:rFonts w:cs="Calibri"/>
        </w:rPr>
        <w:t>:</w:t>
      </w: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Kristina Kopf</w:t>
      </w: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000000" w:rsidRDefault="009943E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 ŠKOLSKOG ODBORA</w:t>
      </w:r>
      <w:r>
        <w:rPr>
          <w:rFonts w:ascii="Calibri" w:eastAsia="Calibri" w:hAnsi="Calibri" w:cs="Calibri"/>
        </w:rPr>
        <w:t>:</w:t>
      </w:r>
    </w:p>
    <w:p w:rsidR="009943E0" w:rsidRDefault="009943E0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Goran Dijanović</w:t>
      </w:r>
    </w:p>
    <w:sectPr w:rsidR="009943E0" w:rsidSect="00FA489A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E0" w:rsidRDefault="009943E0">
      <w:r>
        <w:separator/>
      </w:r>
    </w:p>
  </w:endnote>
  <w:endnote w:type="continuationSeparator" w:id="0">
    <w:p w:rsidR="009943E0" w:rsidRDefault="0099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43E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00000" w:rsidRDefault="009943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43E0">
    <w:pPr>
      <w:pStyle w:val="Podnoje"/>
      <w:framePr w:wrap="around" w:vAnchor="text" w:hAnchor="margin" w:xAlign="center" w:y="1"/>
      <w:rPr>
        <w:rStyle w:val="Brojstranice"/>
      </w:rPr>
    </w:pPr>
  </w:p>
  <w:p w:rsidR="00000000" w:rsidRDefault="009943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E0" w:rsidRDefault="009943E0">
      <w:r>
        <w:separator/>
      </w:r>
    </w:p>
  </w:footnote>
  <w:footnote w:type="continuationSeparator" w:id="0">
    <w:p w:rsidR="009943E0" w:rsidRDefault="0099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43E0">
    <w:pPr>
      <w:pStyle w:val="Zaglavlje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6" type="#_x0000_t75" style="width:543.75pt;height:91.5pt">
          <v:imagedata r:id="rId1" o:title="" cropbottom="6354f" cropleft="6541f" cropright="459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66C89"/>
    <w:multiLevelType w:val="hybridMultilevel"/>
    <w:tmpl w:val="99799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6C8A"/>
    <w:multiLevelType w:val="hybridMultilevel"/>
    <w:tmpl w:val="99799375"/>
    <w:lvl w:ilvl="0">
      <w:start w:val="4"/>
      <w:numFmt w:val="bullet"/>
      <w:lvlText w:val="-"/>
      <w:lvlJc w:val="left"/>
      <w:pPr>
        <w:ind w:left="1821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254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61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3981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470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21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6141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686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81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66866C8B"/>
    <w:multiLevelType w:val="hybridMultilevel"/>
    <w:tmpl w:val="9979937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6866C8C"/>
    <w:multiLevelType w:val="hybridMultilevel"/>
    <w:tmpl w:val="9979937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1FD"/>
    <w:rsid w:val="009943E0"/>
    <w:rsid w:val="00A7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0A06-6C89-4F25-A874-145440A3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eastAsia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1Char">
    <w:name w:val="Naslov 1 Char"/>
    <w:link w:val="Naslov1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rPr>
      <w:rFonts w:ascii="Arial" w:eastAsia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rPr>
      <w:lang w:val="hr-HR" w:eastAsia="en-US" w:bidi="ar-SA"/>
    </w:rPr>
  </w:style>
  <w:style w:type="paragraph" w:customStyle="1" w:styleId="xl52">
    <w:name w:val="xl52"/>
    <w:basedOn w:val="Normal"/>
    <w:pPr>
      <w:spacing w:before="100" w:beforeAutospacing="1" w:after="100" w:afterAutospacing="1"/>
      <w:jc w:val="left"/>
      <w:textAlignment w:val="top"/>
    </w:pPr>
    <w:rPr>
      <w:rFonts w:ascii="Arial" w:eastAsia="Arial" w:hAnsi="Arial" w:cs="Arial"/>
      <w:b/>
      <w:bCs/>
      <w:sz w:val="20"/>
      <w:lang w:eastAsia="hr-HR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link w:val="Tijeloteksta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rPr>
      <w:rFonts w:eastAsia="Calibri"/>
      <w:sz w:val="24"/>
      <w:lang w:val="hr-HR" w:eastAsia="en-US" w:bidi="ar-SA"/>
    </w:rPr>
  </w:style>
  <w:style w:type="character" w:styleId="Brojstranice">
    <w:name w:val="page number"/>
    <w:rPr>
      <w:rFonts w:cs="Times New Roman"/>
    </w:rPr>
  </w:style>
  <w:style w:type="paragraph" w:styleId="StandardWeb">
    <w:name w:val="Normal (Web)"/>
    <w:basedOn w:val="Normal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customStyle="1" w:styleId="Heading1Char2">
    <w:name w:val="Heading 1 Char2"/>
    <w:rPr>
      <w:rFonts w:ascii="Times New Roman" w:eastAsia="Times New Roman" w:hAnsi="Times New Roman"/>
      <w:i/>
      <w:sz w:val="20"/>
      <w:u w:val="single"/>
    </w:rPr>
  </w:style>
  <w:style w:type="character" w:customStyle="1" w:styleId="CharChar26">
    <w:name w:val=" Char Char26"/>
    <w:rPr>
      <w:i/>
      <w:iCs/>
      <w:u w:val="single"/>
      <w:lang w:val="hr-HR" w:eastAsia="en-US" w:bidi="ar-SA"/>
    </w:rPr>
  </w:style>
  <w:style w:type="character" w:customStyle="1" w:styleId="CharChar20">
    <w:name w:val=" Char Char20"/>
    <w:rPr>
      <w:rFonts w:ascii="Arial" w:eastAsia="Arial" w:hAnsi="Arial" w:cs="Arial"/>
      <w:b/>
      <w:bCs/>
      <w:sz w:val="18"/>
      <w:lang w:val="hr-HR" w:eastAsia="hr-HR" w:bidi="ar-SA"/>
    </w:rPr>
  </w:style>
  <w:style w:type="character" w:customStyle="1" w:styleId="CharChar13">
    <w:name w:val=" Char Char13"/>
    <w:rPr>
      <w:sz w:val="24"/>
      <w:lang w:val="hr-HR" w:eastAsia="en-US" w:bidi="ar-SA"/>
    </w:rPr>
  </w:style>
  <w:style w:type="character" w:customStyle="1" w:styleId="CharChar10">
    <w:name w:val=" Char Char10"/>
    <w:rPr>
      <w:sz w:val="24"/>
      <w:lang w:val="hr-HR" w:eastAsia="en-US" w:bidi="ar-SA"/>
    </w:rPr>
  </w:style>
  <w:style w:type="character" w:customStyle="1" w:styleId="CharChar17">
    <w:name w:val=" Char Char17"/>
    <w:rPr>
      <w:i/>
      <w:iCs/>
      <w:u w:val="single"/>
      <w:lang w:val="hr-HR" w:eastAsia="en-US" w:bidi="ar-SA"/>
    </w:rPr>
  </w:style>
  <w:style w:type="character" w:customStyle="1" w:styleId="CharChar11">
    <w:name w:val=" Char Char11"/>
    <w:rPr>
      <w:rFonts w:ascii="Arial" w:eastAsia="Arial" w:hAnsi="Arial" w:cs="Arial"/>
      <w:b/>
      <w:bCs/>
      <w:sz w:val="18"/>
      <w:lang w:val="hr-HR" w:eastAsia="hr-HR" w:bidi="ar-SA"/>
    </w:rPr>
  </w:style>
  <w:style w:type="character" w:customStyle="1" w:styleId="CharChar6">
    <w:name w:val=" Char Char6"/>
    <w:rPr>
      <w:sz w:val="24"/>
      <w:lang w:val="hr-HR" w:eastAsia="en-US" w:bidi="ar-SA"/>
    </w:rPr>
  </w:style>
  <w:style w:type="character" w:customStyle="1" w:styleId="CharChar5">
    <w:name w:val=" Char Char5"/>
    <w:rPr>
      <w:sz w:val="24"/>
      <w:lang w:val="hr-HR" w:eastAsia="en-US" w:bidi="ar-SA"/>
    </w:rPr>
  </w:style>
  <w:style w:type="character" w:customStyle="1" w:styleId="Heading1Char">
    <w:name w:val="Heading 1 Char"/>
    <w:rPr>
      <w:rFonts w:ascii="Calibri Light" w:eastAsia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rPr>
      <w:rFonts w:ascii="Arial" w:eastAsia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basedOn w:val="Normal"/>
    <w:link w:val="Tijeloteksta-uvlaka3Char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link w:val="Tijeloteksta-uvlaka3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Pr>
      <w:rFonts w:cs="Times New Roman"/>
      <w:b/>
      <w:bCs/>
    </w:rPr>
  </w:style>
  <w:style w:type="character" w:customStyle="1" w:styleId="uvlaka2CharChar">
    <w:name w:val="uvlaka 2 Char Char"/>
    <w:rPr>
      <w:lang w:val="pl-PL" w:eastAsia="en-US"/>
    </w:rPr>
  </w:style>
  <w:style w:type="character" w:customStyle="1" w:styleId="CharChar170">
    <w:name w:val="Char Char17"/>
    <w:rPr>
      <w:i/>
      <w:u w:val="single"/>
      <w:lang w:val="hr-HR" w:eastAsia="en-US"/>
    </w:rPr>
  </w:style>
  <w:style w:type="character" w:customStyle="1" w:styleId="CharChar110">
    <w:name w:val="Char Char11"/>
    <w:rPr>
      <w:rFonts w:ascii="Arial" w:eastAsia="Arial" w:hAnsi="Arial"/>
      <w:b/>
      <w:sz w:val="18"/>
      <w:lang w:val="hr-HR" w:eastAsia="hr-HR"/>
    </w:rPr>
  </w:style>
  <w:style w:type="character" w:customStyle="1" w:styleId="CharChar8">
    <w:name w:val="Char Char8"/>
    <w:rPr>
      <w:lang w:val="hr-HR" w:eastAsia="en-US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customStyle="1" w:styleId="CharChar60">
    <w:name w:val="Char Char6"/>
    <w:rPr>
      <w:sz w:val="24"/>
      <w:lang w:val="hr-HR" w:eastAsia="en-US"/>
    </w:rPr>
  </w:style>
  <w:style w:type="character" w:customStyle="1" w:styleId="CharChar50">
    <w:name w:val="Char Char5"/>
    <w:rPr>
      <w:sz w:val="24"/>
      <w:lang w:val="hr-HR" w:eastAsia="en-US"/>
    </w:rPr>
  </w:style>
  <w:style w:type="character" w:customStyle="1" w:styleId="CharChar18">
    <w:name w:val="Char Char18"/>
    <w:rPr>
      <w:i/>
      <w:u w:val="single"/>
      <w:lang w:val="hr-HR" w:eastAsia="en-US"/>
    </w:rPr>
  </w:style>
  <w:style w:type="character" w:customStyle="1" w:styleId="CharChar12">
    <w:name w:val="Char Char12"/>
    <w:rPr>
      <w:rFonts w:ascii="Arial" w:eastAsia="Arial" w:hAnsi="Arial"/>
      <w:b/>
      <w:sz w:val="18"/>
      <w:lang w:val="hr-HR" w:eastAsia="hr-HR"/>
    </w:rPr>
  </w:style>
  <w:style w:type="character" w:customStyle="1" w:styleId="CharChar7">
    <w:name w:val="Char Char7"/>
    <w:rPr>
      <w:sz w:val="24"/>
      <w:lang w:val="hr-HR" w:eastAsia="en-US"/>
    </w:rPr>
  </w:style>
  <w:style w:type="character" w:customStyle="1" w:styleId="Heading1Char1">
    <w:name w:val="Heading 1 Char1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Pr>
      <w:rFonts w:eastAsia="Calibri"/>
      <w:sz w:val="20"/>
    </w:rPr>
  </w:style>
  <w:style w:type="character" w:customStyle="1" w:styleId="TekstkomentaraChar">
    <w:name w:val="Tekst komentara Char"/>
    <w:link w:val="Tekstkomentara"/>
    <w:rPr>
      <w:rFonts w:eastAsia="Calibri"/>
      <w:lang w:val="hr-HR" w:eastAsia="en-US" w:bidi="ar-SA"/>
    </w:rPr>
  </w:style>
  <w:style w:type="character" w:customStyle="1" w:styleId="CharChar15">
    <w:name w:val=" Char Char15"/>
    <w:rPr>
      <w:b/>
      <w:bCs/>
      <w:lang w:val="pl-PL" w:eastAsia="en-US" w:bidi="ar-SA"/>
    </w:rPr>
  </w:style>
  <w:style w:type="character" w:customStyle="1" w:styleId="CharChar14">
    <w:name w:val=" Char Char14"/>
    <w:rPr>
      <w:rFonts w:ascii="Arial" w:eastAsia="Arial" w:hAnsi="Arial"/>
      <w:b/>
      <w:bCs/>
      <w:sz w:val="16"/>
      <w:lang w:val="hr-HR" w:eastAsia="hr-HR" w:bidi="ar-SA"/>
    </w:rPr>
  </w:style>
  <w:style w:type="character" w:customStyle="1" w:styleId="CharChar120">
    <w:name w:val=" Char Char12"/>
    <w:rPr>
      <w:b/>
      <w:bCs/>
      <w:sz w:val="16"/>
      <w:lang w:val="hr-HR" w:eastAsia="en-US" w:bidi="ar-SA"/>
    </w:rPr>
  </w:style>
  <w:style w:type="character" w:customStyle="1" w:styleId="CharChar9">
    <w:name w:val=" Char Char9"/>
    <w:rPr>
      <w:rFonts w:ascii="Arial" w:eastAsia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 Char Char8"/>
    <w:rPr>
      <w:lang w:val="hr-HR" w:eastAsia="en-US" w:bidi="ar-SA"/>
    </w:rPr>
  </w:style>
  <w:style w:type="character" w:customStyle="1" w:styleId="CharChar70">
    <w:name w:val=" Char Char7"/>
    <w:rPr>
      <w:i/>
      <w:sz w:val="24"/>
      <w:lang w:val="hr-HR" w:eastAsia="hr-HR" w:bidi="ar-SA"/>
    </w:rPr>
  </w:style>
  <w:style w:type="character" w:customStyle="1" w:styleId="CharChar4">
    <w:name w:val=" Char Char4"/>
    <w:rPr>
      <w:sz w:val="24"/>
      <w:lang w:val="hr-HR" w:eastAsia="en-US" w:bidi="ar-SA"/>
    </w:rPr>
  </w:style>
  <w:style w:type="character" w:customStyle="1" w:styleId="uvlaka2CharChar1">
    <w:name w:val="  uvlaka 2 Char Char1"/>
    <w:rPr>
      <w:lang w:val="pl-PL" w:eastAsia="en-US" w:bidi="ar-SA"/>
    </w:rPr>
  </w:style>
  <w:style w:type="character" w:customStyle="1" w:styleId="CharChar2">
    <w:name w:val=" Char Char2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semiHidden/>
    <w:pPr>
      <w:tabs>
        <w:tab w:val="right" w:leader="dot" w:pos="8313"/>
      </w:tabs>
    </w:pPr>
    <w:rPr>
      <w:rFonts w:ascii="Arial" w:eastAsia="Arial" w:hAnsi="Arial" w:cs="Arial"/>
      <w:b/>
      <w:bCs/>
      <w:i/>
      <w:iCs/>
      <w:sz w:val="20"/>
      <w:lang w:eastAsia="hr-HR"/>
    </w:rPr>
  </w:style>
  <w:style w:type="character" w:customStyle="1" w:styleId="CharChar16">
    <w:name w:val=" Char Char1"/>
    <w:rPr>
      <w:i/>
      <w:iCs/>
      <w:u w:val="single"/>
      <w:lang w:val="hr-HR" w:eastAsia="en-US" w:bidi="ar-SA"/>
    </w:rPr>
  </w:style>
  <w:style w:type="character" w:customStyle="1" w:styleId="uvlaka2CharChar0">
    <w:name w:val="  uvlaka 2 Char Char"/>
    <w:rPr>
      <w:lang w:val="pl-PL" w:eastAsia="en-US" w:bidi="ar-SA"/>
    </w:rPr>
  </w:style>
  <w:style w:type="paragraph" w:styleId="Bezprored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ListParagraph0">
    <w:name w:val="List Paragraph_0"/>
    <w:basedOn w:val="Normal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A4">
    <w:name w:val="A4"/>
    <w:rPr>
      <w:color w:val="000000"/>
      <w:sz w:val="26"/>
      <w:szCs w:val="26"/>
    </w:rPr>
  </w:style>
  <w:style w:type="character" w:styleId="Neupadljivoisticanje">
    <w:name w:val="Subtle Emphasis"/>
    <w:qFormat/>
    <w:rPr>
      <w:i/>
      <w:iCs/>
      <w:color w:val="404040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szCs w:val="24"/>
      <w:lang w:eastAsia="hr-H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84">
    <w:name w:val="xl84"/>
    <w:basedOn w:val="Normal"/>
    <w:pPr>
      <w:spacing w:before="100" w:beforeAutospacing="1" w:after="100" w:afterAutospacing="1"/>
      <w:jc w:val="left"/>
    </w:pPr>
    <w:rPr>
      <w:rFonts w:ascii="Calibri" w:eastAsia="Calibri" w:hAnsi="Calibri" w:cs="Calibri"/>
      <w:sz w:val="20"/>
      <w:lang w:eastAsia="hr-H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i/>
      <w:iCs/>
      <w:sz w:val="20"/>
      <w:lang w:eastAsia="hr-H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eastAsia="Calibri" w:hAnsi="Calibri" w:cs="Calibri"/>
      <w:sz w:val="20"/>
      <w:lang w:eastAsia="hr-H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eastAsia="Calibri" w:hAnsi="Calibri" w:cs="Calibri"/>
      <w:sz w:val="20"/>
      <w:lang w:eastAsia="hr-H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eastAsia="Calibri" w:hAnsi="Calibri" w:cs="Calibri"/>
      <w:sz w:val="20"/>
      <w:lang w:eastAsia="hr-H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98">
    <w:name w:val="xl98"/>
    <w:basedOn w:val="Normal"/>
    <w:pPr>
      <w:spacing w:before="100" w:beforeAutospacing="1" w:after="100" w:afterAutospacing="1"/>
      <w:jc w:val="center"/>
    </w:pPr>
    <w:rPr>
      <w:rFonts w:ascii="Calibri" w:eastAsia="Calibri" w:hAnsi="Calibri" w:cs="Calibri"/>
      <w:sz w:val="20"/>
      <w:lang w:eastAsia="hr-H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sz w:val="16"/>
      <w:szCs w:val="16"/>
      <w:lang w:eastAsia="hr-HR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right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03">
    <w:name w:val="xl103"/>
    <w:basedOn w:val="Normal"/>
    <w:pPr>
      <w:shd w:val="clear" w:color="000000" w:fill="BFBFBF"/>
      <w:spacing w:before="100" w:beforeAutospacing="1" w:after="100" w:afterAutospacing="1"/>
      <w:jc w:val="left"/>
    </w:pPr>
    <w:rPr>
      <w:rFonts w:ascii="Calibri" w:eastAsia="Calibri" w:hAnsi="Calibri" w:cs="Calibri"/>
      <w:sz w:val="20"/>
      <w:lang w:eastAsia="hr-HR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left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left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right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 w:cs="Calibri"/>
      <w:sz w:val="20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eastAsia="Calibri" w:hAnsi="Calibri" w:cs="Calibri"/>
      <w:b/>
      <w:bCs/>
      <w:sz w:val="20"/>
      <w:lang w:eastAsia="hr-HR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i/>
      <w:iCs/>
      <w:sz w:val="20"/>
      <w:lang w:eastAsia="hr-HR"/>
    </w:rPr>
  </w:style>
  <w:style w:type="paragraph" w:customStyle="1" w:styleId="box455870-000016">
    <w:name w:val="box455870-000016"/>
    <w:basedOn w:val="Normal"/>
    <w:pPr>
      <w:shd w:val="clear" w:color="auto" w:fill="FFFFFF"/>
      <w:spacing w:before="100" w:beforeAutospacing="1"/>
      <w:jc w:val="center"/>
      <w:textAlignment w:val="baseline"/>
    </w:pPr>
    <w:rPr>
      <w:szCs w:val="24"/>
      <w:lang w:eastAsia="hr-HR"/>
    </w:rPr>
  </w:style>
  <w:style w:type="character" w:customStyle="1" w:styleId="zadanifontodlomka-000009">
    <w:name w:val="zadanifontodlomka-000009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000012">
    <w:name w:val="000012"/>
    <w:basedOn w:val="Normal"/>
    <w:pPr>
      <w:shd w:val="clear" w:color="auto" w:fill="FFFFFF"/>
      <w:spacing w:before="100" w:beforeAutospacing="1"/>
      <w:textAlignment w:val="baseline"/>
    </w:pPr>
    <w:rPr>
      <w:szCs w:val="24"/>
      <w:lang w:eastAsia="hr-HR"/>
    </w:rPr>
  </w:style>
  <w:style w:type="character" w:customStyle="1" w:styleId="zadanifontodlomka-000006">
    <w:name w:val="zadanifontodlomka-000006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000013">
    <w:name w:val="000013"/>
    <w:rPr>
      <w:rFonts w:ascii="Sylfaen" w:eastAsia="Sylfaen" w:hAnsi="Sylfae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/>
  <LinksUpToDate>false</LinksUpToDate>
  <CharactersWithSpaces>46053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subject/>
  <dc:creator>mbubalo</dc:creator>
  <cp:keywords/>
  <dc:description/>
  <cp:lastModifiedBy>Tea Horvat</cp:lastModifiedBy>
  <cp:revision>2</cp:revision>
  <cp:lastPrinted>2024-03-25T10:16:00Z</cp:lastPrinted>
  <dcterms:created xsi:type="dcterms:W3CDTF">2024-03-28T11:44:00Z</dcterms:created>
  <dcterms:modified xsi:type="dcterms:W3CDTF">2024-03-28T11:44:00Z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