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7023"/>
        <w:gridCol w:w="1308"/>
        <w:gridCol w:w="1514"/>
      </w:tblGrid>
      <w:tr w:rsidR="008B4D35">
        <w:trPr>
          <w:trHeight w:val="305"/>
        </w:trPr>
        <w:tc>
          <w:tcPr>
            <w:tcW w:w="9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4D35" w:rsidRDefault="008B4D35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8B4D35">
        <w:trPr>
          <w:gridAfter w:val="1"/>
          <w:wAfter w:w="1514" w:type="dxa"/>
          <w:trHeight w:val="305"/>
        </w:trPr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8B4D35" w:rsidRDefault="008B4D35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8B4D35" w:rsidRDefault="008B4D3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</w:tr>
      <w:tr w:rsidR="008B4D35">
        <w:trPr>
          <w:gridAfter w:val="1"/>
          <w:wAfter w:w="1514" w:type="dxa"/>
          <w:trHeight w:val="610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D35" w:rsidRDefault="005015F5">
            <w:pPr>
              <w:ind w:right="-567"/>
              <w:jc w:val="left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KLASA:       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hr-HR"/>
              </w:rPr>
              <w:t>400-02/23-01/6</w:t>
            </w:r>
            <w:r>
              <w:rPr>
                <w:rFonts w:eastAsia="Calibri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</w:p>
          <w:p w:rsidR="008B4D35" w:rsidRDefault="005015F5">
            <w:pPr>
              <w:spacing w:after="211" w:line="268" w:lineRule="auto"/>
              <w:ind w:left="10" w:hanging="10"/>
              <w:jc w:val="left"/>
              <w:rPr>
                <w:rFonts w:eastAsia="Calibri"/>
                <w:noProof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URBROJ:     2158-46-23-3                                              </w:t>
            </w:r>
          </w:p>
          <w:p w:rsidR="008B4D35" w:rsidRDefault="005015F5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D35" w:rsidRDefault="005015F5">
      <w:pPr>
        <w:pStyle w:val="Bezproreda1"/>
        <w:rPr>
          <w:rFonts w:cs="Calibri"/>
        </w:rPr>
      </w:pPr>
      <w:r>
        <w:rPr>
          <w:rFonts w:cs="Calibri"/>
        </w:rPr>
        <w:t>U Osijeku, 31. srpnja 2023.</w:t>
      </w:r>
    </w:p>
    <w:p w:rsidR="008B4D35" w:rsidRDefault="008B4D35">
      <w:pPr>
        <w:pStyle w:val="Bezproreda1"/>
        <w:rPr>
          <w:rFonts w:cs="Calibri"/>
        </w:rPr>
      </w:pPr>
    </w:p>
    <w:p w:rsidR="008B4D35" w:rsidRDefault="005015F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temelju članka 86. Zakona o proračunu (NN 144/21) te Pravilnika o polugodišnjem i godišnjem izvještaju o izvršenju proračuna (NN 24/13, 102/17, 1/20 i 147/20) te članka 55. Statuta Škole primijenjene umjetnosti i dizajna Osijek, Školski odbor na sjednic</w:t>
      </w:r>
      <w:r>
        <w:rPr>
          <w:rFonts w:ascii="Calibri" w:hAnsi="Calibri" w:cs="Calibri"/>
          <w:sz w:val="22"/>
          <w:szCs w:val="22"/>
        </w:rPr>
        <w:t xml:space="preserve">i održanoj dana 31. srpnja 2023. godine donosi </w:t>
      </w:r>
    </w:p>
    <w:p w:rsidR="008B4D35" w:rsidRDefault="008B4D35">
      <w:pPr>
        <w:rPr>
          <w:rFonts w:ascii="Calibri" w:hAnsi="Calibri" w:cs="Calibri"/>
          <w:sz w:val="22"/>
          <w:szCs w:val="22"/>
        </w:rPr>
      </w:pPr>
    </w:p>
    <w:p w:rsidR="008B4D35" w:rsidRDefault="005015F5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POLUGODIŠNJI IZVJEŠTAJ O IZVRŠENJU FINANCIJSKOG PLANA ZA 2023. GODINU</w:t>
      </w: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8B4D35">
      <w:pPr>
        <w:rPr>
          <w:rFonts w:ascii="Calibri" w:hAnsi="Calibri" w:cs="Calibri"/>
        </w:rPr>
      </w:pPr>
    </w:p>
    <w:p w:rsidR="008B4D35" w:rsidRDefault="005015F5">
      <w:pPr>
        <w:pStyle w:val="Bezproreda1"/>
        <w:jc w:val="center"/>
        <w:rPr>
          <w:rFonts w:cs="Calibri"/>
          <w:b/>
        </w:rPr>
      </w:pPr>
      <w:r>
        <w:rPr>
          <w:rFonts w:cs="Calibri"/>
          <w:b/>
        </w:rPr>
        <w:t>OPĆI DIO PRORAČUNA</w:t>
      </w:r>
    </w:p>
    <w:p w:rsidR="008B4D35" w:rsidRDefault="005015F5">
      <w:pPr>
        <w:pStyle w:val="Bezproreda1"/>
        <w:numPr>
          <w:ilvl w:val="0"/>
          <w:numId w:val="3"/>
        </w:numPr>
        <w:jc w:val="center"/>
        <w:rPr>
          <w:rFonts w:cs="Calibri"/>
          <w:b/>
        </w:rPr>
      </w:pPr>
      <w:r>
        <w:rPr>
          <w:rFonts w:cs="Calibri"/>
          <w:b/>
        </w:rPr>
        <w:t>SAŽETAK - RAČUNA PRIHODA I RASHODA I RAČUNA FINANCIRANJA</w:t>
      </w:r>
    </w:p>
    <w:p w:rsidR="008B4D35" w:rsidRDefault="008B4D35">
      <w:pPr>
        <w:pStyle w:val="Bezproreda1"/>
        <w:jc w:val="center"/>
        <w:rPr>
          <w:rFonts w:cs="Calibri"/>
          <w:b/>
        </w:rPr>
      </w:pPr>
    </w:p>
    <w:tbl>
      <w:tblPr>
        <w:tblW w:w="9840" w:type="dxa"/>
        <w:tblInd w:w="118" w:type="dxa"/>
        <w:tblLook w:val="04A0" w:firstRow="1" w:lastRow="0" w:firstColumn="1" w:lastColumn="0" w:noHBand="0" w:noVBand="1"/>
      </w:tblPr>
      <w:tblGrid>
        <w:gridCol w:w="3680"/>
        <w:gridCol w:w="2400"/>
        <w:gridCol w:w="1660"/>
        <w:gridCol w:w="2100"/>
      </w:tblGrid>
      <w:tr w:rsidR="008B4D35">
        <w:trPr>
          <w:trHeight w:val="315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 xml:space="preserve">PRIHODI/RASHODI TEKUĆA GODINA 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Izvršenje prethodne godine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Plan tekuće godine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 xml:space="preserve">Izvršenje tekuće godine 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PRIHODI UKUPNO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662.223,09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1.423.154,00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739.462,91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PRIHODI POSLOVANJA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662.223,09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1.423.154,00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739.462,91</w:t>
            </w: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PRIHODI OD PRODAJE NEFINANCIJSKE IMOVINE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0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RASHODI UKUPNO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668.742,60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1.442.444,00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738.385,53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RASHODI  POSLOVANJA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667.559,77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1.413.206,00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724.248,06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RASHODI ZA NEFINANCIJSKU IMOVINU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1.182,83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29.238,00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14.137,47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RAZLIKA - VIŠAK / MANJAK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-6.519,51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-19.290,00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1.077,38</w:t>
            </w:r>
          </w:p>
        </w:tc>
      </w:tr>
      <w:tr w:rsidR="008B4D35">
        <w:trPr>
          <w:trHeight w:val="9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Račun financiranja: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rPr>
                <w:rFonts w:ascii="Calibri" w:hAnsi="Calibri" w:cs="Calibri"/>
                <w:color w:val="000000"/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 xml:space="preserve">RAČUN FINANCIRANJA 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Izvršenje prethodne godine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Plan tekuće godine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 xml:space="preserve">Izvršenje tekuće godine </w:t>
            </w: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PRIMICI OD FINANCIJSKE IMOVINE I ZADUŽIVANJA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hr-HR"/>
              </w:rPr>
              <w:t>IZDACI ZA FINANCIJSKU IMOVINU I OTPLATE ZAJMOVA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 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NETO FINANCIRANJE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0</w:t>
            </w:r>
          </w:p>
        </w:tc>
      </w:tr>
      <w:tr w:rsidR="008B4D35">
        <w:trPr>
          <w:trHeight w:val="106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rPr>
                <w:rFonts w:ascii="Calibri" w:hAnsi="Calibri" w:cs="Calibri"/>
                <w:color w:val="000000"/>
                <w:szCs w:val="24"/>
                <w:lang w:eastAsia="hr-HR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hr-HR"/>
              </w:rPr>
              <w:t>Preneseni višak: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rPr>
                <w:rFonts w:ascii="Calibri" w:hAnsi="Calibri" w:cs="Calibri"/>
                <w:color w:val="000000"/>
                <w:szCs w:val="24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lastRenderedPageBreak/>
              <w:t>VIŠKOVI/MANJKOVI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Izvršenje prethodne godine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Plan tekuće godine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 xml:space="preserve">Izvršenje tekuće godine </w:t>
            </w: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UKUPAN DONOS VIŠKA / MANJKA IZ PRETHODNE(IH) GODINE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-6.519,51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-19.290,00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3.485,63</w:t>
            </w: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10.005,14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19.290,00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  <w:t>8.534,69</w:t>
            </w:r>
          </w:p>
        </w:tc>
      </w:tr>
      <w:tr w:rsidR="008B4D35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35" w:rsidRDefault="008B4D35">
            <w:pPr>
              <w:jc w:val="left"/>
              <w:rPr>
                <w:sz w:val="20"/>
                <w:lang w:eastAsia="hr-HR"/>
              </w:rPr>
            </w:pPr>
          </w:p>
        </w:tc>
      </w:tr>
      <w:tr w:rsidR="008B4D35">
        <w:trPr>
          <w:trHeight w:val="525"/>
        </w:trPr>
        <w:tc>
          <w:tcPr>
            <w:tcW w:w="368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VIŠAK / MANJAK + NETO FINANCIRANJE+PRENESENI RAZULTAT</w:t>
            </w:r>
          </w:p>
        </w:tc>
        <w:tc>
          <w:tcPr>
            <w:tcW w:w="240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3.485,63</w:t>
            </w:r>
          </w:p>
        </w:tc>
        <w:tc>
          <w:tcPr>
            <w:tcW w:w="166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0</w:t>
            </w:r>
          </w:p>
        </w:tc>
        <w:tc>
          <w:tcPr>
            <w:tcW w:w="210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hr-HR"/>
              </w:rPr>
              <w:t>13.097,70</w:t>
            </w:r>
          </w:p>
        </w:tc>
      </w:tr>
    </w:tbl>
    <w:p w:rsidR="008B4D35" w:rsidRDefault="008B4D35">
      <w:pPr>
        <w:pStyle w:val="Bezproreda1"/>
        <w:rPr>
          <w:rFonts w:cs="Calibri"/>
          <w:b/>
        </w:rPr>
      </w:pPr>
    </w:p>
    <w:p w:rsidR="008B4D35" w:rsidRDefault="005015F5">
      <w:pPr>
        <w:pStyle w:val="Bezproreda1"/>
        <w:jc w:val="center"/>
        <w:rPr>
          <w:rFonts w:cs="Calibri"/>
          <w:b/>
        </w:rPr>
      </w:pPr>
      <w:r>
        <w:rPr>
          <w:rFonts w:cs="Calibri"/>
          <w:b/>
        </w:rPr>
        <w:t>OPĆI DIO PRORAČUNA</w:t>
      </w:r>
    </w:p>
    <w:p w:rsidR="008B4D35" w:rsidRDefault="005015F5">
      <w:pPr>
        <w:pStyle w:val="Bezproreda1"/>
        <w:jc w:val="center"/>
        <w:rPr>
          <w:rFonts w:cs="Calibri"/>
          <w:b/>
        </w:rPr>
      </w:pPr>
      <w:r>
        <w:rPr>
          <w:rFonts w:cs="Calibri"/>
          <w:b/>
        </w:rPr>
        <w:t>RAČUNA PRIHODA I RASHODA</w:t>
      </w:r>
    </w:p>
    <w:p w:rsidR="008B4D35" w:rsidRDefault="008B4D35">
      <w:pPr>
        <w:rPr>
          <w:rFonts w:ascii="Calibri" w:hAnsi="Calibri" w:cs="Calibri"/>
          <w:sz w:val="22"/>
          <w:szCs w:val="22"/>
        </w:rPr>
      </w:pPr>
    </w:p>
    <w:p w:rsidR="008B4D35" w:rsidRDefault="008B4D35">
      <w:pPr>
        <w:rPr>
          <w:rFonts w:ascii="Calibri" w:hAnsi="Calibri" w:cs="Calibri"/>
          <w:sz w:val="22"/>
          <w:szCs w:val="22"/>
        </w:rPr>
      </w:pPr>
    </w:p>
    <w:p w:rsidR="008B4D35" w:rsidRDefault="005015F5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PRIHODI POSLOVANJA</w:t>
      </w:r>
    </w:p>
    <w:p w:rsidR="008B4D35" w:rsidRDefault="008B4D35">
      <w:pPr>
        <w:jc w:val="left"/>
        <w:rPr>
          <w:rFonts w:ascii="Calibri" w:hAnsi="Calibri" w:cs="Calibri"/>
          <w:b/>
          <w:bCs/>
          <w:sz w:val="22"/>
          <w:szCs w:val="22"/>
        </w:rPr>
      </w:pPr>
    </w:p>
    <w:p w:rsidR="008B4D35" w:rsidRDefault="008B4D35">
      <w:pPr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730"/>
        <w:gridCol w:w="4311"/>
        <w:gridCol w:w="1219"/>
        <w:gridCol w:w="1298"/>
        <w:gridCol w:w="1118"/>
        <w:gridCol w:w="847"/>
        <w:gridCol w:w="820"/>
      </w:tblGrid>
      <w:tr w:rsidR="008B4D35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TEKUĆE GODINE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300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662.223,09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 1.423.154,00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739.462,91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111,66%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51,96%</w:t>
            </w:r>
          </w:p>
        </w:tc>
      </w:tr>
      <w:tr w:rsidR="008B4D3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E7E6E6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E7E6E6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111 OPĆI PRIHODI I PRIMICI - ŽUPANIJSKI PRORAČUN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4.027,16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E7E6E6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1.767,00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E7E6E6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6,18%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E7E6E6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14,08%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4.027,16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1.767,00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6,18%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14,08%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iz nadležnog proračuna i od HZZO-a temeljem ugovornih obveza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4.027,16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1.767,00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6,18%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14,08%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redovne djelatnosti proračunskih korisnika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4.027,16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1.767,00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6,18%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14,08%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4.027,16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1.601,00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6,18%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15,54%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za nabavu nefinancijske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13 OPĆI PRIHODI I PRIMICI - DECENTRALIZACIJA - VIŠAK IZ PRETHODNE GODINE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132 OPĆI PRIHODI I PRIMICI - DECENTRALIZACIJA - VIŠAK IZ PRETHODNE GODINE - SREDNJE ŠKOLSTVO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iz nadležnog proračuna i od HZZO-a temeljem ugovornih obveza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redovne djelatnosti proračunskih korisnika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1.019,64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32 VLASTITI PRIHODI - PRORAČUNSKI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4.493,99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16.343,00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287,10%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78,95% </w:t>
            </w:r>
          </w:p>
        </w:tc>
      </w:tr>
      <w:tr w:rsidR="008B4D35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3210 VLASTITI PRIHODI - PRORAČUNSKI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4.493,99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16.343,00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287,10%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78,95%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4.493,99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16.343,00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287,10%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78,95%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Pomoći iz inozemstva i od subjekata unutar općeg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lastRenderedPageBreak/>
              <w:t xml:space="preserve"> 638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Pomoći iz državnog proračuna temeljem prijenosa EU sredstava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6381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Tekuće pomoći iz državnog proračuna temeljem prijenosa EU sredstava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od prodaje proizvoda i robe te pruženih usluga i prihodi od donacija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4.493,99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16.343,00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287,10%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78,95%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661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od prodaje proizvoda i robe te pruženih usluga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4.493,99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16.343,00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287,10%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78,95%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6614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od prodaje proizvoda i robe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167,23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6615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od pruženih usluga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4.326,76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16.077,00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12.902,21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298,20%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80,25%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46 PRIHODI ZA POSEBNE NAMJENE - DECENTRALIZACIJA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76.929,80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82.010,88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45,72% </w:t>
            </w:r>
          </w:p>
        </w:tc>
      </w:tr>
      <w:tr w:rsidR="008B4D35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462 PRIHODI ZA POSEBNE NAMJENE - DECENTRALIZACIJA - SREDNJE ŠKOLSTVO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76.929,80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82.010,88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45,72%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76.929,80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82.010,88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45,72%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iz nadležnog proračuna i od HZZO-a temeljem ugovornih obveza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76.929,80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82.010,88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45,72%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redovne djelatnosti proračunskih korisnika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76.929,80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82.010,88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45,72%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76.066,93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144.033,00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81.144,01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45,54%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za nabavu nefinancijske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862,87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100,46%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65,33%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 PRIHODI ZA POSEBNE NAMJENE - OSTALO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188,00%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4910 PRIHODI ZA POSEBNE NAMJENE - 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188,00%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Pomoći iz inozemstva i od subjekata unutar općeg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639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Prijenosi između proračunskih korisnika istog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6391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Tekući prijenosi između proračunskih korisnika istog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65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od upravnih i administrativnih pristojbi, pristojbi po posebnim propisima i naknada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188,00%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652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po posebnim propisima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188,00%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6526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Ostali nespomenuti prihodi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331,81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21.368,00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623,81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188,00%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2,92%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52 POMOĆI - ŽUPANIJSKI PRORAČUN - EU PROJEKTI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4.684,39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32,38%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5212 POMOĆI - ŽUPANIJSKI PRORAČUN - SHEMA VOĆE. POVRĆE I MLIJEKO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734,82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206,42%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734,82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206,42%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iz nadležnog proračuna i od HZZO-a temeljem ugovornih obveza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734,82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206,42%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redovne djelatnosti proračunskih korisnika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734,82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206,42%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734,82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1.516,81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206,42%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67,53%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526 POMOĆI - ŽUPANIJSKI PRORAČUN - EU PROJEKTI - UČIMO ZAJEDNO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3.949,57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3.949,57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 xml:space="preserve"> 67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iz nadležnog proračuna i od HZZO-a temeljem ugovornih obveza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3.949,57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redovne djelatnosti proračunskih korisnika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3.949,57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6711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iz nadležnog proračuna za financiranje rashoda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3.949,57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54 POMOĆI -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51,97% 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financ.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5410 POMOĆI -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51,97%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51,97%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Pomoći iz inozemstva i od subjekata unutar općeg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51,97%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Pomoći proračunskim korisnicima iz proračuna koji im nije nadležan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51,97%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6361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Tekuće pomoći proračunskim korisnicima iz proračuna koji im nije nadležan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570.702,18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1.233.866,00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642.034,43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112,50%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52,03%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6362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Kapitalne pomoći proračunskim korisnicima iz proračuna koji im nije nadležan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638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Pomoći iz državnog proračuna temeljem prijenosa EU sredstava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6381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Tekuće pomoći iz državnog proračuna temeljem prijenosa EU sredstava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0,00%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62 DONACIJE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6210 UGOVORI DONACIJE - 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66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od prodaje proizvoda i robe te pruženih usluga i prihodi od donacija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663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Donacije od pravnih i fizičkih osoba izvan općeg proračuna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6631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Tekuće donacije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11,15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106,18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952,40%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15,99%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72 PRIHODI OD PRODAJE PROIZVEDENE DUGOTRAJNE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49,43% </w:t>
            </w:r>
          </w:p>
        </w:tc>
      </w:tr>
      <w:tr w:rsidR="008B4D35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Izvor financ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7210 PRIHODI OD NEFINANCIJSKE IMOVINE I NADOKNADE ŠTETA S OSNOVA OSIGURANJA-KORISNICI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49,43%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od prodaje nefinancijske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49,43% </w:t>
            </w:r>
          </w:p>
        </w:tc>
      </w:tr>
      <w:tr w:rsidR="008B4D35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72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Prihodi od prodaje proizvedene dugotrajne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49,43%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721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Prihodi od prodaje građevinskih objekata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49,43% 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7211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Stambeni objekti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22,97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19,77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 49,43% </w:t>
            </w:r>
          </w:p>
        </w:tc>
      </w:tr>
    </w:tbl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5015F5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VIŠAK KORIŠTEN ZA POKRIĆE RASHODA</w:t>
      </w:r>
    </w:p>
    <w:p w:rsidR="008B4D35" w:rsidRDefault="005015F5">
      <w:pPr>
        <w:jc w:val="left"/>
        <w:rPr>
          <w:sz w:val="20"/>
          <w:lang w:eastAsia="hr-HR"/>
        </w:rPr>
      </w:pPr>
      <w:r>
        <w:fldChar w:fldCharType="begin"/>
      </w:r>
      <w:r>
        <w:instrText xml:space="preserve"> LINK Excel.Sheet.12 "C:\\Users\\Računovodstvo\\Desktop\\radne tablice izvršenje.xlsx" "List2!R77C1:R83C7" \a \f 4 \h 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1276"/>
        <w:gridCol w:w="1134"/>
        <w:gridCol w:w="850"/>
        <w:gridCol w:w="851"/>
      </w:tblGrid>
      <w:tr w:rsidR="008B4D35">
        <w:trPr>
          <w:trHeight w:val="13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Skupina/podskupina/odjeljak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Naziv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Plan tekuće godine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Izvršenje tekuće godine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preth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. god.)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Vlastiti izvori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13.636,00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70,69%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Rezultat poslovanja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13.636,00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70,69%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13.636,00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70,69%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3.895,52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19.290,00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13.636,00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70,69%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IZVOR 93 - Vlastiti prihodi - višak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10.154,00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44,32%</w:t>
            </w:r>
          </w:p>
        </w:tc>
      </w:tr>
      <w:tr w:rsidR="008B4D35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IZVOR 94 - Prihodi za posebne namjene - višak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100,00%</w:t>
            </w:r>
          </w:p>
        </w:tc>
      </w:tr>
    </w:tbl>
    <w:p w:rsidR="008B4D35" w:rsidRDefault="005015F5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fldChar w:fldCharType="end"/>
      </w: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5015F5">
      <w:pPr>
        <w:jc w:val="lef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RASHODI POSLOVANJA</w:t>
      </w:r>
    </w:p>
    <w:p w:rsidR="008B4D35" w:rsidRDefault="008B4D35">
      <w:pPr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900" w:type="dxa"/>
        <w:tblInd w:w="113" w:type="dxa"/>
        <w:tblLook w:val="04A0" w:firstRow="1" w:lastRow="0" w:firstColumn="1" w:lastColumn="0" w:noHBand="0" w:noVBand="1"/>
      </w:tblPr>
      <w:tblGrid>
        <w:gridCol w:w="580"/>
        <w:gridCol w:w="4160"/>
        <w:gridCol w:w="1221"/>
        <w:gridCol w:w="1300"/>
        <w:gridCol w:w="1120"/>
        <w:gridCol w:w="940"/>
        <w:gridCol w:w="848"/>
      </w:tblGrid>
      <w:tr w:rsidR="008B4D35">
        <w:trPr>
          <w:trHeight w:val="67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TEKUĆE GODINE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45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668.742,60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110,41%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4.448,50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1.767,00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248,82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5,59%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14,08%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4.448,50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1.601,00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248,82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15,54%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3.868,25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192,62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99,29%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3.320,20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165,33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99,60%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3.320,20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165,33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99,60%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548,05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27,29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97,46%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548,05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27,29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97,46%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580,25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1.407,00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56,20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9,69%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3,99%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580,25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580,25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56,20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7,95%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56,20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7,95%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 OPĆI PRIHODI I PRIMICI - DECENTRALIZACIJA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73.868,74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73.005,86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72.608,25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20.403,83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896,62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19.347,94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159,27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32.142,28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5.380,01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1.661,08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24.288,65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583,50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229,04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19.623,67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1.512,68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11.163,77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464,53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4.969,15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214,02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808,78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105,85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384,90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438,47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388,46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50,02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397,61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397,61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397,61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862,87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862,87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862,87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862,87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 OPĆI PRIHODI I PRIMICI - DECENTRALIZACIJA - VIŠAK IZ PRETHODNE GODINE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2.081,42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2.081,42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2.081,42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2.081,42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2.081,42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1.109,31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26.497,00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6.346,00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572,07%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23,95%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1.081,83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11.714,00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6.346,00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586,60%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54,17%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3.318,00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1.966,14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3.318,00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1.966,14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3.318,00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1.966,14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1.081,83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8.396,00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4.379,86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404,86%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52,17%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332,00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177,43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2.531,00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587,34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331,03%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23,21%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3,66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1,38%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32,32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1.271,00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337,05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1042,83%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26,52%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70,84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151,87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214,39%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57,31%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74,27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94,76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127,59%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18,95%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402,83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2.469,61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613,06%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73,94%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258,68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350,00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2.000,00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1.990,59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99,53%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34,51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332,00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24,89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59,72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99,53%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164,51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164,51%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1,66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132,64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7995,01%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132,64%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83,10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122,15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146,98%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46,09%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501,57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1.800,00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1.322,91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263,75%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73,50%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77,16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794,13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1029,22%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132,36%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46,45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48,27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103,91%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48,27%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66,35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16,59%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79,63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298,33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414,16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138,83%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59,17%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14.783,00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14.783,00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14.717,00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13.702,00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350,00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27,47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93 / Vlastiti prihodi - višak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nefinancijske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proizvedene dugotrajne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Postrojenja i oprema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Uredska oprema i namještaj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145.360,00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72.159,96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45,53%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144.033,00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72.159,96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45,34%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144.033,00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72.159,96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45,34%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40.300,00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26.471,64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65,69%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2.252,00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1.390,42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61,74%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37.162,00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24.982,14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67,22%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753,00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95,00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12,62%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4,08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3,07%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81.141,00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33.006,05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32,54%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7.200,00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3.337,11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46,35%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18.520,00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202,08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1,09%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54.416,00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28.540,09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40,32%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691,73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109,28%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372,00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235,04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63,18%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21.977,00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12.275,17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54,71%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3.050,00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1.979,12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56,69%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5.123,00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2.237,03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43,67%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8.455,00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5.370,69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63,52%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3.052,00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921,00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1.211,74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131,57%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837,45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835,79%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797,00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639,14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80,19%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615,00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407,10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66,20%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152,64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114,77%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332,00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254,46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76,64%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866,87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866,87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866,87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189,20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14,26%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677,67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 PRIHODI ZA POSEBNE NAMJENE - OSTALO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9.570,62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30.504,00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2.760,71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28,85%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9,05%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9.278,13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20.236,00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2.760,71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29,76%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13,64%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9.278,13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19.936,00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2.760,71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29,76%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13,85%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7.678,77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15.432,00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1.921,02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25,02%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483,00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7.273,12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13.552,00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1.921,02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26,41%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14,18%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199,00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405,66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1.111,93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3.704,00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756,07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68,00%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20,41%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7,51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1.058,33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1.725,00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756,07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71,44%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43,83%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487,43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83,62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17,16%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10,45%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3299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487,43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83,62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17,16%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11,95%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292,49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10.268,00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292,49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10.268,00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292,49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10.168,00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292,49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9.032,00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738,00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94 / Prihodi za posebne namjene - višak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poslovanja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Materijalni rashodi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nefinancijske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proizvedene dugotrajne imovine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Postrojenja i oprema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4.668,93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2.246,00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1.257,27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3,57%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4.668,93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1.257,27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3,57%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3.341,97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2.697,76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2.697,76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199,08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199,08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445,13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445,13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1.326,96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1.257,27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12,58%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1.305,55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1.257,27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12,78%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1.305,55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1.257,27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12,78%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21,41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21,41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572.995,08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1.235.366,00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641.003,74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14,85%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51,89%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572.995,08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1.232.712,00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641.003,74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14,85%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566.864,37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1.224.288,00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637.499,19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14,93%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52,07%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474.190,83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982.520,00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528.694,16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53,81%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452.416,01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936.620,00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503.461,34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14,77%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53,75%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12.798,98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23.800,00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14.147,43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59,44%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8.975,84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22.100,00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11.085,39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16,39%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50,16%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18.744,19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46.492,00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21.566,14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15,27%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46,39%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18.744,19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46.492,00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21.566,14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15,27%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46,39%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73.929,35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195.276,00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87.238,89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15,66%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44,67%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73.898,22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195.254,00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87.228,21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44,67%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31,12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22,00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10,68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4,55%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48,55%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5.520,61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8.178,00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1.994,21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4,79%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24,39%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398,17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456,00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57,09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1,90%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12,52%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57,09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98,43%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398,17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398,00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326,50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326,50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4.795,95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7.457,00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1.937,12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5,36%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25,98%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3.785,92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7.167,00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1.648,86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5,78%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23,01%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1.010,03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290,00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288,26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3,79%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99,40%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610,10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243,77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5,30%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610,10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243,77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5,30%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610,10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246,00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243,77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5,30%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1.266,57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1.266,57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1.266,57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2.654,00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2.654,00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2.654,00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2.654,00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106,16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106,16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106,16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106,16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664,00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106,16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40,00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</w:tbl>
    <w:p w:rsidR="008B4D35" w:rsidRDefault="008B4D35">
      <w:pPr>
        <w:rPr>
          <w:rFonts w:ascii="Calibri" w:hAnsi="Calibri" w:cs="Calibri"/>
          <w:b/>
          <w:bCs/>
          <w:sz w:val="16"/>
          <w:szCs w:val="16"/>
        </w:rPr>
      </w:pP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5015F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hAnsi="Calibri" w:cs="Calibri"/>
          <w:b/>
          <w:bCs/>
          <w:sz w:val="22"/>
          <w:szCs w:val="22"/>
          <w:lang w:eastAsia="hr-HR"/>
        </w:rPr>
        <w:t>OPĆI DIO PRORAČUNA</w:t>
      </w:r>
    </w:p>
    <w:p w:rsidR="008B4D35" w:rsidRDefault="005015F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hAnsi="Calibri" w:cs="Calibri"/>
          <w:b/>
          <w:bCs/>
          <w:sz w:val="22"/>
          <w:szCs w:val="22"/>
          <w:lang w:eastAsia="hr-HR"/>
        </w:rPr>
        <w:t>RASHODI PREMA FUNKCIJSKOJ KLASIFIKACIJI</w:t>
      </w: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</w:p>
    <w:tbl>
      <w:tblPr>
        <w:tblW w:w="10218" w:type="dxa"/>
        <w:tblInd w:w="113" w:type="dxa"/>
        <w:tblLook w:val="04A0" w:firstRow="1" w:lastRow="0" w:firstColumn="1" w:lastColumn="0" w:noHBand="0" w:noVBand="1"/>
      </w:tblPr>
      <w:tblGrid>
        <w:gridCol w:w="3872"/>
        <w:gridCol w:w="1477"/>
        <w:gridCol w:w="1353"/>
        <w:gridCol w:w="1228"/>
        <w:gridCol w:w="1165"/>
        <w:gridCol w:w="1123"/>
      </w:tblGrid>
      <w:tr w:rsidR="008B4D35">
        <w:trPr>
          <w:trHeight w:val="656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Plan tekuće godine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Izvršenje tekuće godine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29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6=4/3*100</w:t>
            </w:r>
          </w:p>
        </w:tc>
      </w:tr>
      <w:tr w:rsidR="008B4D35">
        <w:trPr>
          <w:trHeight w:val="29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UKUPNO RASHODI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668.743,00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110,41%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4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668.742,81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110,41%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40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0912 Predškolsko i osnovno obrazovanje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5.249,18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3.762,00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23,95%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33,42%</w:t>
            </w:r>
          </w:p>
        </w:tc>
      </w:tr>
      <w:tr w:rsidR="008B4D35">
        <w:trPr>
          <w:trHeight w:val="40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0922 Srednjoškolsko obrazovanje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663.304,00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1.438.431,00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736.879,44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111,09%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51,23%</w:t>
            </w:r>
          </w:p>
        </w:tc>
      </w:tr>
      <w:tr w:rsidR="008B4D35">
        <w:trPr>
          <w:trHeight w:val="29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0960 Dodatne usluge u obrazovanju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189,63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131,21%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r-HR"/>
              </w:rPr>
              <w:t>99,13%</w:t>
            </w:r>
          </w:p>
        </w:tc>
      </w:tr>
    </w:tbl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</w:p>
    <w:p w:rsidR="008B4D35" w:rsidRDefault="005015F5">
      <w:pPr>
        <w:jc w:val="center"/>
        <w:rPr>
          <w:rFonts w:ascii="Calibri" w:hAnsi="Calibri" w:cs="Calibri"/>
          <w:b/>
          <w:bCs/>
          <w:sz w:val="22"/>
          <w:szCs w:val="22"/>
          <w:lang w:eastAsia="hr-HR"/>
        </w:rPr>
      </w:pPr>
      <w:r>
        <w:rPr>
          <w:rFonts w:ascii="Calibri" w:hAnsi="Calibri" w:cs="Calibri"/>
          <w:b/>
          <w:bCs/>
          <w:sz w:val="22"/>
          <w:szCs w:val="22"/>
          <w:lang w:eastAsia="hr-HR"/>
        </w:rPr>
        <w:t>OPĆI DIO PRORAČUNA</w:t>
      </w:r>
    </w:p>
    <w:p w:rsidR="008B4D35" w:rsidRDefault="005015F5">
      <w:pPr>
        <w:numPr>
          <w:ilvl w:val="0"/>
          <w:numId w:val="3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RAČUN FINANCIRANJA</w:t>
      </w: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044" w:type="dxa"/>
        <w:tblInd w:w="113" w:type="dxa"/>
        <w:tblLook w:val="04A0" w:firstRow="1" w:lastRow="0" w:firstColumn="1" w:lastColumn="0" w:noHBand="0" w:noVBand="1"/>
      </w:tblPr>
      <w:tblGrid>
        <w:gridCol w:w="785"/>
        <w:gridCol w:w="745"/>
        <w:gridCol w:w="541"/>
        <w:gridCol w:w="2744"/>
        <w:gridCol w:w="1243"/>
        <w:gridCol w:w="977"/>
        <w:gridCol w:w="989"/>
        <w:gridCol w:w="1010"/>
        <w:gridCol w:w="1010"/>
      </w:tblGrid>
      <w:tr w:rsidR="008B4D35">
        <w:trPr>
          <w:trHeight w:val="559"/>
        </w:trPr>
        <w:tc>
          <w:tcPr>
            <w:tcW w:w="7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4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54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274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Naziv </w:t>
            </w:r>
          </w:p>
        </w:tc>
        <w:tc>
          <w:tcPr>
            <w:tcW w:w="124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Izvršenje prethodne godine</w:t>
            </w:r>
          </w:p>
        </w:tc>
        <w:tc>
          <w:tcPr>
            <w:tcW w:w="97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Plan tekuće godine</w:t>
            </w:r>
          </w:p>
        </w:tc>
        <w:tc>
          <w:tcPr>
            <w:tcW w:w="9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Izvršenje tekuće godine </w:t>
            </w:r>
          </w:p>
        </w:tc>
        <w:tc>
          <w:tcPr>
            <w:tcW w:w="10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101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402"/>
        </w:trPr>
        <w:tc>
          <w:tcPr>
            <w:tcW w:w="481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6=4/3*100</w:t>
            </w:r>
          </w:p>
        </w:tc>
      </w:tr>
      <w:tr w:rsidR="008B4D35">
        <w:trPr>
          <w:trHeight w:val="402"/>
        </w:trPr>
        <w:tc>
          <w:tcPr>
            <w:tcW w:w="78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0,00 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B4D35">
        <w:trPr>
          <w:trHeight w:val="402"/>
        </w:trPr>
        <w:tc>
          <w:tcPr>
            <w:tcW w:w="78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bottom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0,00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:rsidR="008B4D35" w:rsidRDefault="008B4D35">
      <w:pPr>
        <w:rPr>
          <w:rFonts w:ascii="Calibri" w:hAnsi="Calibri" w:cs="Calibri"/>
          <w:b/>
          <w:bCs/>
          <w:sz w:val="22"/>
          <w:szCs w:val="22"/>
        </w:rPr>
      </w:pPr>
    </w:p>
    <w:p w:rsidR="008B4D35" w:rsidRDefault="005015F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POSEBNI DIO PRORAČUNA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230"/>
        <w:gridCol w:w="3900"/>
        <w:gridCol w:w="1811"/>
        <w:gridCol w:w="1418"/>
        <w:gridCol w:w="1559"/>
      </w:tblGrid>
      <w:tr w:rsidR="008B4D35">
        <w:trPr>
          <w:trHeight w:val="67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TEKUĆI PLAN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IZVRŠENJE TEKUĆE GODINE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INDEKS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Razdjel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UPRAVNI ODJEL ZA OBRAZOVANJE I MLADE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Glava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738.385,53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51,19%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1207 RAZVOJ ODGOJNO-OBRAZOVNOG SUSTAVA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37,53%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A1207 04 ORGANIZACIJA I IZVOĐENJE NATJECANJA I SMOTRI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99,13%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99,13%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99,13%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99,29%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99,60%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99,60%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97,46%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97,46%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98,60%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98,60%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98,60%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T1207 33 PROGRAMI I PROJEKTI U ODGOJU I OBRAZOVANJU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67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K1207 17 SUFINANCIRANJE OBAVEZNE ŠKOLSKE LEKTIRE U OSNOVNIM I SREDNJIM ŠKOLAMA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T1207 31 EU PROJEKTI - UČIMO ZAJEDNO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T1207 20 SHEMA - VOĆE, POVRĆE I MLIJEKO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 POMOĆI - ŽUPANIJSKI PRORAČUN - EU PROJEKTI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1.257,27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55,98%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T1207 30 OBVEZE PROIZAŠLE IZ SUDSKIH SPOROVA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 OPĆI PRIHODI I PRIMICI - ŽUPANIJSKI PRORAČUN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7007 FINANCIRANJE SREDNJEG ŠKOLSTVA PREMA MINIMALNOM STANDARDU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66.175,17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45,53%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K7007 08 IZGRADNJA, REKONSTRUKCIJA I OPREMANJE OBJEKATA SREDNJEG ŠKOLSTVA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 OPĆI PRIHODI I PRIMICI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866,87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65,33%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14,26%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67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K7007 09 PLANSKO I HITNO ODRŽAVANJE OBJEKATA I OPREME SREDNJEG ŠKOLSTVA I UČENIČKIH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 OPĆI PRIHODI I PRIMICI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A7007 05 FINANCIRANJE OPĆIH TROŠKOVA SREDNJEG ŠKOLSTVA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13.964,02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62,15%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 OPĆI PRIHODI I PRIMICI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14.215,68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63,27%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14.215,68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63,27%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1.489,50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6,63%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1.390,42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44,31%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4,22%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0,54%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4.263,88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3205,92%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3.337,11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39,94%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691,73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461,15%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235,04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37,13%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8.055,20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2165,38%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10.362,00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1.979,12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19,10%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3.387,75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1278,40%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1.211,74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566,23%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837,45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90,93%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639,14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639,14%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51,08%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101,76%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254,46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191,32%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254,46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76,64%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A7007 06 FINANCIRANJE STVARNIH TROŠKOVA SREDNJEG ŠKOLSTVA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51.344,28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42,24%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 OPĆI PRIHODI I PRIMICI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67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 OPĆI PRIHODI I PRIMICI - DECENTRALIZACIJA - VIŠAK IZ PRETHODNE GODINE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 PRIHODI ZA POSEBNE NAMJENE - DECENTRALIZACIJA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57.944,28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47,67%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121.563,00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57.944,28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47,67%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121.563,00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57.944,28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47,67%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37.162,00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24.982,14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67,22%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37.162,00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24.982,14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67,22%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72.786,00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28.742,17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39,49%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18.370,00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202,08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1,10%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54.416,00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28.540,09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52,45%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4.219,97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36,33%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5.123,00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2.237,03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43,67%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1.982,94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57,64%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3.052,00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7011 FINANCIRANJE ŠKOLSTVA IZVAN ŽUPANIJSKOG PRORAČUNA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1.293.071,00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663.852,61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51,34%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A7011 02 VLASTITI PRIHODI - SREDNJE ŠKOLSTVO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1.293.071,00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663.852,61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51,34%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 VLASTITI PRIHODI - PRORAČUNSKI KORISNICI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26.497,00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23,95%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11.714,00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6.346,00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54,17%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1.966,14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1.966,14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1.966,14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59,26%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8.396,00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4.379,86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52,17%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2.531,00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587,34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23,21%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1,38%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26,52%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57,31%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18,95%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2.469,61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73,94%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99,53%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99,53%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164,51%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132,64%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46,09%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1.322,91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73,50%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794,13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132,36%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48,27%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16,59%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414,16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59,17%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14.783,00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14.783,00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13.702,00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93 / Vlastiti prihodi - višak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nefinancijske imovine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proizvedene dugotrajne imovine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Postrojenja i oprema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Uredska oprema i namještaj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 PRIHODI ZA POSEBNE NAMJENE - OSTALO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2.760,71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9,05%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20.236,00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2.760,71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13,64%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19.936,00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2.760,71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13,85%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15.432,00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1.921,02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483,00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13.552,00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1.921,02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14,18%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199,00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600,00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3.704,00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756,07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20,41%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416,00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1.725,00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756,07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43,83%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365,00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933,00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83,62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10,45%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83,62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11,95%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10.268,00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10.268,00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10.168,00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9.032,00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133,00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738,00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265,00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6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94 / Prihodi za posebne namjene - višak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poslovanja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Materijalni rashodi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365,40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nefinancijske imovine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Rashodi za nabavu proizvedene dugotrajne imovine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422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Postrojenja i oprema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8.770,60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8.400,60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1.235.366,00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641.003,74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51,89%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1.232.712,00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641.003,74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1.224.288,00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637.499,19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52,07%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982.520,00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528.694,16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53,81%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936.620,00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503.461,34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53,75%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14.147,43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59,44%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11.085,39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50,16%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21.566,14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46,39%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21.566,14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46,39%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195.276,00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87.238,89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44,67%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195.254,00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87.228,21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44,67%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48,55%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8.178,00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1.994,21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24,39%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12,52%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57,09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98,43%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1.937,12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25,98%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7.167,00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1.648,86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23,01%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288,26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99,40%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243,77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99,09%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1.266,57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2.654,00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 DONACIJE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lastRenderedPageBreak/>
              <w:t>321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106,16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15,99%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 PRIHODI OD PRODAJE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4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  <w:tr w:rsidR="008B4D35">
        <w:trPr>
          <w:trHeight w:val="30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D35" w:rsidRDefault="005015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0,00%</w:t>
            </w:r>
          </w:p>
        </w:tc>
      </w:tr>
    </w:tbl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8B4D35">
      <w:pPr>
        <w:rPr>
          <w:rFonts w:ascii="Calibri" w:hAnsi="Calibri" w:cs="Calibri"/>
          <w:b/>
          <w:bCs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5015F5">
      <w:pPr>
        <w:pStyle w:val="Bezproreda1"/>
        <w:jc w:val="both"/>
        <w:rPr>
          <w:rFonts w:cs="Calibri"/>
          <w:b/>
        </w:rPr>
      </w:pPr>
      <w:r>
        <w:rPr>
          <w:rFonts w:cs="Calibri"/>
          <w:b/>
        </w:rPr>
        <w:t>OBRAZLOŽENJE POLUGODIŠNJEG IZVJEŠTAJA O IZVRŠENJU FINANCIJSKOG PLANA ZA 2023. GODINU</w:t>
      </w:r>
    </w:p>
    <w:p w:rsidR="008B4D35" w:rsidRDefault="008B4D35">
      <w:pPr>
        <w:pStyle w:val="Bezproreda1"/>
        <w:jc w:val="both"/>
        <w:rPr>
          <w:rFonts w:cs="Calibri"/>
        </w:rPr>
      </w:pPr>
    </w:p>
    <w:p w:rsidR="008B4D35" w:rsidRDefault="005015F5">
      <w:pPr>
        <w:pStyle w:val="Bezproreda1"/>
        <w:jc w:val="both"/>
        <w:rPr>
          <w:rFonts w:cs="Calibri"/>
        </w:rPr>
      </w:pPr>
      <w:r>
        <w:rPr>
          <w:rFonts w:cs="Calibri"/>
        </w:rPr>
        <w:t>Izvještaj o izvršenju financijskog plana prati jesu li se i u kojim iznosima ostvarile planirane pozicije prihoda, primitaka, rashoda, izdataka, viškova i manjkova unutar promatranog razdoblja.</w:t>
      </w:r>
    </w:p>
    <w:p w:rsidR="008B4D35" w:rsidRDefault="005015F5">
      <w:pPr>
        <w:pStyle w:val="Bezproreda1"/>
        <w:jc w:val="both"/>
        <w:rPr>
          <w:rFonts w:cs="Calibri"/>
        </w:rPr>
      </w:pPr>
      <w:r>
        <w:rPr>
          <w:rFonts w:cs="Calibri"/>
        </w:rPr>
        <w:t>Sadržaj, podnošenje i donošenje izvještaja o izvršenju financijskog plana proračunskog korisnika propisani su u čl. 81.- 87. Zakona o proračunu (Nar. Nov., br. 144/21.).</w:t>
      </w:r>
    </w:p>
    <w:p w:rsidR="008B4D35" w:rsidRDefault="005015F5">
      <w:pPr>
        <w:pStyle w:val="Bezproreda1"/>
        <w:jc w:val="both"/>
        <w:rPr>
          <w:rFonts w:cs="Calibri"/>
        </w:rPr>
      </w:pPr>
      <w:r>
        <w:rPr>
          <w:rFonts w:cs="Calibri"/>
        </w:rPr>
        <w:t>Za proračunske korisnike još uvijek ne postoji propisani obrazac kojim bi se usporedio</w:t>
      </w:r>
      <w:r>
        <w:rPr>
          <w:rFonts w:cs="Calibri"/>
        </w:rPr>
        <w:t xml:space="preserve"> Financijski plan i Izvršenje, međutim preporuka je takvo izvješće sastaviti po programskoj i ekonomskoj klasifikaciji te izvorima financiranja sukladno metodologiji po kojoj je izrađen i financijski plan.  </w:t>
      </w:r>
    </w:p>
    <w:p w:rsidR="008B4D35" w:rsidRDefault="008B4D35">
      <w:pPr>
        <w:rPr>
          <w:rFonts w:ascii="Calibri" w:hAnsi="Calibri" w:cs="Calibri"/>
          <w:sz w:val="22"/>
          <w:szCs w:val="22"/>
        </w:rPr>
      </w:pPr>
    </w:p>
    <w:p w:rsidR="008B4D35" w:rsidRDefault="005015F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polugodišnjem izvještaju o izvršenju financij</w:t>
      </w:r>
      <w:r>
        <w:rPr>
          <w:rFonts w:ascii="Calibri" w:hAnsi="Calibri" w:cs="Calibri"/>
          <w:sz w:val="22"/>
          <w:szCs w:val="22"/>
        </w:rPr>
        <w:t>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:rsidR="008B4D35" w:rsidRDefault="005015F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Pol</w:t>
      </w:r>
      <w:r>
        <w:rPr>
          <w:rFonts w:ascii="Calibri" w:hAnsi="Calibri" w:cs="Calibri"/>
          <w:sz w:val="22"/>
          <w:szCs w:val="22"/>
        </w:rPr>
        <w:t>ugodišnji izvještaja o izvršenju Financijskog plana za 2023. sadrži prikaz svih prihoda i primitaka i rashoda i izdataka u razdoblju za koje se sastavlja, a prikazuje se kroz:</w:t>
      </w:r>
    </w:p>
    <w:p w:rsidR="008B4D35" w:rsidRDefault="008B4D35">
      <w:pPr>
        <w:rPr>
          <w:rFonts w:ascii="Calibri" w:hAnsi="Calibri" w:cs="Calibri"/>
          <w:sz w:val="22"/>
          <w:szCs w:val="22"/>
        </w:rPr>
      </w:pPr>
    </w:p>
    <w:p w:rsidR="008B4D35" w:rsidRDefault="005015F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Opći dio (sažetka računa prihoda i rashoda, račun financiranja, preneseni višak</w:t>
      </w:r>
      <w:r>
        <w:rPr>
          <w:rFonts w:ascii="Calibri" w:hAnsi="Calibri" w:cs="Calibri"/>
          <w:sz w:val="22"/>
          <w:szCs w:val="22"/>
        </w:rPr>
        <w:t>)</w:t>
      </w:r>
    </w:p>
    <w:p w:rsidR="008B4D35" w:rsidRDefault="005015F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Posebni dio (izvršenje rashoda i izdataka proračunskih korisnika) i</w:t>
      </w:r>
    </w:p>
    <w:p w:rsidR="008B4D35" w:rsidRDefault="005015F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Obrazloženje (obrazloženje općeg dijela i posebnog dijela financijskog plana) </w:t>
      </w:r>
    </w:p>
    <w:p w:rsidR="008B4D35" w:rsidRDefault="005015F5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Posebne izvještaje</w:t>
      </w:r>
    </w:p>
    <w:p w:rsidR="008B4D35" w:rsidRDefault="008B4D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B4D35" w:rsidRDefault="005015F5">
      <w:pPr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OBRAZLOŽENJE OPĆEG DIJELA </w:t>
      </w:r>
      <w:r>
        <w:rPr>
          <w:rFonts w:ascii="Calibri" w:hAnsi="Calibri" w:cs="Calibri"/>
          <w:b/>
          <w:sz w:val="22"/>
          <w:szCs w:val="22"/>
        </w:rPr>
        <w:t>POLUGODIŠNJEG IZVJEŠTAJA O IZVRŠENJU FINANCIJSKOG PLANA ZA 20</w:t>
      </w:r>
      <w:r>
        <w:rPr>
          <w:rFonts w:ascii="Calibri" w:hAnsi="Calibri" w:cs="Calibri"/>
          <w:b/>
          <w:sz w:val="22"/>
          <w:szCs w:val="22"/>
        </w:rPr>
        <w:t>23. GODINU</w:t>
      </w:r>
    </w:p>
    <w:p w:rsidR="008B4D35" w:rsidRDefault="008B4D35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B4D35" w:rsidRDefault="005015F5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Obrazloženje polugodišnjeg izvještaja o izvršenju financijskog plana Škole primijenjene umjetnosti i dizajna Osijek za 2023. godinu izrađen je u skladu s odredbama Zakona o proračunu (Narodne novine broj 144/21),</w:t>
      </w:r>
      <w:r>
        <w:rPr>
          <w:rFonts w:ascii="Calibri" w:hAnsi="Calibri" w:cs="Calibri"/>
          <w:color w:val="000000"/>
          <w:sz w:val="22"/>
          <w:szCs w:val="22"/>
        </w:rPr>
        <w:t xml:space="preserve"> Pravilnika o proračunskim klasi</w:t>
      </w:r>
      <w:r>
        <w:rPr>
          <w:rFonts w:ascii="Calibri" w:hAnsi="Calibri" w:cs="Calibri"/>
          <w:color w:val="000000"/>
          <w:sz w:val="22"/>
          <w:szCs w:val="22"/>
        </w:rPr>
        <w:t xml:space="preserve">fikacijama (Narodne novine broj 26/10, 120/13 i 01/20), Pravilnika o proračunskom računovodstvu i Računskom planu (Narodne novine broj 124/14, 115/15, 87/16, 3/18, 126/19 i 108/20), Zakonu o uvođenju eura kao službene valute u Republici Hrvatskoj (Narodne </w:t>
      </w:r>
      <w:r>
        <w:rPr>
          <w:rFonts w:ascii="Calibri" w:hAnsi="Calibri" w:cs="Calibri"/>
          <w:color w:val="000000"/>
          <w:sz w:val="22"/>
          <w:szCs w:val="22"/>
        </w:rPr>
        <w:t>novine  broj 57/2022) te Podacima za izradu Polugodišnjeg izvještaja o izvršenju proračuna Osječko-baranjske županije za 2023. godinu (</w:t>
      </w:r>
      <w:r>
        <w:rPr>
          <w:rFonts w:ascii="Calibri" w:hAnsi="Calibri" w:cs="Calibri"/>
          <w:iCs/>
          <w:color w:val="000000"/>
          <w:sz w:val="22"/>
          <w:szCs w:val="22"/>
        </w:rPr>
        <w:t>KLASA:</w:t>
      </w:r>
      <w:r>
        <w:rPr>
          <w:rFonts w:ascii="Calibri" w:hAnsi="Calibri" w:cs="Calibri"/>
          <w:iCs/>
          <w:sz w:val="22"/>
          <w:szCs w:val="22"/>
        </w:rPr>
        <w:t xml:space="preserve"> 602-02</w:t>
      </w:r>
      <w:r>
        <w:rPr>
          <w:rFonts w:ascii="Calibri" w:hAnsi="Calibri" w:cs="Calibri"/>
          <w:iCs/>
          <w:color w:val="000000"/>
          <w:sz w:val="22"/>
          <w:szCs w:val="22"/>
        </w:rPr>
        <w:t>/23-03/14, URBOJ: 2158-17-02-01/01-23-1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</w:p>
    <w:p w:rsidR="008B4D35" w:rsidRDefault="005015F5">
      <w:pPr>
        <w:pStyle w:val="Bezproreda1"/>
        <w:jc w:val="both"/>
        <w:rPr>
          <w:rFonts w:cs="Calibri"/>
        </w:rPr>
      </w:pPr>
      <w:r>
        <w:rPr>
          <w:rFonts w:cs="Calibri"/>
          <w:b/>
        </w:rPr>
        <w:t xml:space="preserve">OBRAZLOŽENJE OSTVARENJA PRIHODA I PRIMITAKA, RASHODA I IZDATAKA </w:t>
      </w:r>
      <w:r>
        <w:rPr>
          <w:rFonts w:cs="Calibri"/>
          <w:b/>
        </w:rPr>
        <w:t>ZA RAZDOBLJE  1.1. DO 30.6.2023</w:t>
      </w:r>
      <w:r>
        <w:rPr>
          <w:rFonts w:cs="Calibri"/>
        </w:rPr>
        <w:t>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lastRenderedPageBreak/>
        <w:t xml:space="preserve">Škola primijenjene umjetnosti i dizajna Osijek u razdoblju 01. siječnja do 30. lipnja 2023. godine ostvarila je ukupne prihode u iznosu 739.462,91 eur, rashodi su izvršeni u iznosu od 738.385,53 eur, te je ostvareni višak </w:t>
      </w:r>
      <w:r>
        <w:rPr>
          <w:rStyle w:val="Neupadljivoisticanje1"/>
          <w:i w:val="0"/>
          <w:iCs w:val="0"/>
          <w:color w:val="auto"/>
        </w:rPr>
        <w:t xml:space="preserve">za navedeno razdoblje u iznosu od 1.077,38 eur.  Ukupni prihodi realizirani su na razini 51,96% u odnosu na planske vrijednosti.  Ukupni rashodi realizirani su na razini 51,19% u odnosu na planirano.  </w:t>
      </w:r>
    </w:p>
    <w:p w:rsidR="008B4D35" w:rsidRDefault="008B4D35">
      <w:pPr>
        <w:rPr>
          <w:rStyle w:val="Neupadljivoisticanje1"/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Iznos nenaplaćenih potraživanja za vlastite prihode n</w:t>
      </w:r>
      <w:r>
        <w:rPr>
          <w:rStyle w:val="Neupadljivoisticanje1"/>
          <w:i w:val="0"/>
          <w:iCs w:val="0"/>
          <w:color w:val="auto"/>
        </w:rPr>
        <w:t>a dan 30.06.2023. godine iznosi 2.045,62 eur, a odnosi se na potraživanja za prihode od pruženih usluga. Za sva potraživanja se pravovremeno poduzimaju mjere naplate.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Stanje obveza na 30.6.2022. iznosi 116.562,63 eur.</w:t>
      </w:r>
      <w:r>
        <w:rPr>
          <w:i/>
          <w:iCs/>
          <w:sz w:val="23"/>
          <w:szCs w:val="23"/>
        </w:rPr>
        <w:t xml:space="preserve"> </w:t>
      </w:r>
      <w:r>
        <w:rPr>
          <w:iCs/>
          <w:sz w:val="23"/>
          <w:szCs w:val="23"/>
        </w:rPr>
        <w:t>Od toga</w:t>
      </w:r>
      <w:r>
        <w:rPr>
          <w:i/>
          <w:iCs/>
          <w:sz w:val="23"/>
          <w:szCs w:val="23"/>
        </w:rPr>
        <w:t xml:space="preserve"> </w:t>
      </w:r>
      <w:r>
        <w:rPr>
          <w:rStyle w:val="Neupadljivoisticanje1"/>
          <w:i w:val="0"/>
          <w:iCs w:val="0"/>
          <w:color w:val="auto"/>
        </w:rPr>
        <w:t>nepodmirene dospjele obveze i</w:t>
      </w:r>
      <w:r>
        <w:rPr>
          <w:rStyle w:val="Neupadljivoisticanje1"/>
          <w:i w:val="0"/>
          <w:iCs w:val="0"/>
          <w:color w:val="auto"/>
        </w:rPr>
        <w:t>znose 0,00 eur.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Stanje novčanih sredstava Škole primijenjene umjetnosti i dizajna Osijek na žiro-računu Osječko – baranjske županije na dan 30.06.2023. godine iznosi  19.966,21 eur.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rFonts w:cs="Calibri"/>
          <w:i w:val="0"/>
          <w:iCs w:val="0"/>
          <w:color w:val="auto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b/>
          <w:i w:val="0"/>
          <w:iCs w:val="0"/>
          <w:color w:val="auto"/>
        </w:rPr>
      </w:pPr>
      <w:r>
        <w:rPr>
          <w:rStyle w:val="Neupadljivoisticanje1"/>
          <w:b/>
          <w:i w:val="0"/>
          <w:iCs w:val="0"/>
          <w:color w:val="auto"/>
        </w:rPr>
        <w:t>OBRAZLOŽENJE ODSTUPANJA (01.01.2022. – 30.6.2022. i 01.01.2023. – 30.6</w:t>
      </w:r>
      <w:r>
        <w:rPr>
          <w:rStyle w:val="Neupadljivoisticanje1"/>
          <w:b/>
          <w:i w:val="0"/>
          <w:iCs w:val="0"/>
          <w:color w:val="auto"/>
        </w:rPr>
        <w:t>.2023.)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b/>
          <w:i w:val="0"/>
          <w:iCs w:val="0"/>
          <w:color w:val="auto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Na računu 63 Pomoći iz inozemstva i od subjekata unutar općeg proračuna u 2023. godini iskazan je realizirani iznos pomoći u iznosu 642.034,43 eur odnosno realizirane su na razini 51,97% u odnosu na plan. Unutar ove grupe prihoda evidentirane su p</w:t>
      </w:r>
      <w:r>
        <w:rPr>
          <w:rStyle w:val="Neupadljivoisticanje1"/>
          <w:i w:val="0"/>
          <w:iCs w:val="0"/>
          <w:color w:val="auto"/>
        </w:rPr>
        <w:t>romjene na sljedećim računima: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6361 – Tekuće pomoći proračunskim korisnicima iz proračuna koji im nije nadležan – povećanje prihoda za 12,50 % radi povećanja osnovice za izračun plaća u državnom i javnom sektoru.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Na računu 66 iskazan je porast od  288,70</w:t>
      </w:r>
      <w:r>
        <w:rPr>
          <w:rStyle w:val="Neupadljivoisticanje1"/>
          <w:i w:val="0"/>
          <w:iCs w:val="0"/>
          <w:color w:val="auto"/>
        </w:rPr>
        <w:t xml:space="preserve">% u odnosu na isto razdoblje prošle godine, a odnosi se na sljedeće račune: 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</w:p>
    <w:p w:rsidR="008B4D35" w:rsidRDefault="005015F5">
      <w:pPr>
        <w:pStyle w:val="Bezproreda1"/>
        <w:spacing w:line="276" w:lineRule="auto"/>
        <w:rPr>
          <w:bCs/>
        </w:rPr>
      </w:pPr>
      <w:r>
        <w:rPr>
          <w:bCs/>
        </w:rPr>
        <w:t xml:space="preserve">6615 Prihodi od pruženih usluga – značajan porast prihoda ostvaren je zbog boljeg upravljanja dvoranom i popunjenosti slobodnih termina. </w:t>
      </w:r>
    </w:p>
    <w:p w:rsidR="008B4D35" w:rsidRDefault="005015F5">
      <w:pPr>
        <w:pStyle w:val="Bezproreda1"/>
        <w:spacing w:line="276" w:lineRule="auto"/>
        <w:rPr>
          <w:bCs/>
        </w:rPr>
      </w:pPr>
      <w:r>
        <w:rPr>
          <w:bCs/>
        </w:rPr>
        <w:t xml:space="preserve">6631 Tekuće donacije – iskazane primljene donacije odnose se na donaciju trgovačkog društva za dnevnice nastavnika za odlazak na stručnu ekskurziju. </w:t>
      </w:r>
    </w:p>
    <w:p w:rsidR="008B4D35" w:rsidRDefault="008B4D35">
      <w:pPr>
        <w:pStyle w:val="Bezproreda1"/>
        <w:spacing w:line="276" w:lineRule="auto"/>
        <w:rPr>
          <w:b/>
        </w:rPr>
      </w:pPr>
    </w:p>
    <w:p w:rsidR="008B4D35" w:rsidRDefault="005015F5">
      <w:pPr>
        <w:pStyle w:val="Bezproreda1"/>
        <w:spacing w:line="276" w:lineRule="auto"/>
        <w:jc w:val="both"/>
      </w:pPr>
      <w:r>
        <w:t>Račun 67 iskazuje nešto manje ostvarenje u odnosu na prethodnu godinu (96,7%). Razlog tome je prošlogodiš</w:t>
      </w:r>
      <w:r>
        <w:t xml:space="preserve">nje ulaganje županije u pod učionice kiparstva ( oko 10.000,00 eur) iskazano na kontu 6711 . </w:t>
      </w:r>
    </w:p>
    <w:p w:rsidR="008B4D35" w:rsidRDefault="005015F5">
      <w:pPr>
        <w:pStyle w:val="Bezproreda1"/>
        <w:spacing w:line="276" w:lineRule="auto"/>
        <w:jc w:val="both"/>
        <w:rPr>
          <w:bCs/>
        </w:rPr>
      </w:pPr>
      <w:r>
        <w:rPr>
          <w:bCs/>
        </w:rPr>
        <w:t>Na kontu 6712 Prihodi iz nadležnog proračuna za financiranje rashoda za nabavu nefinancijske imovine - povećanje zbog ulaganja u rashladni uređaj i printer za isp</w:t>
      </w:r>
      <w:r>
        <w:rPr>
          <w:bCs/>
        </w:rPr>
        <w:t>is naljepnica (Uredsko poslovanje, primjena od 01.01.2023), iznos financiran donacijom Osječko - baranjske županije.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31 Rashodi za zaposlene realizirani su u iznosu od 639.657,95 eur što je na razini što je povećanje od 11,4% u odnosu na izvršenje prethod</w:t>
      </w:r>
      <w:r>
        <w:rPr>
          <w:rStyle w:val="Neupadljivoisticanje1"/>
          <w:i w:val="0"/>
          <w:iCs w:val="0"/>
          <w:color w:val="auto"/>
        </w:rPr>
        <w:t>ne godine. Račun 31 obuhvaća troškove plaća za redovan rad zaposlenika Škole te isplatu materijalnih prava.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rFonts w:cs="Calibri"/>
          <w:i w:val="0"/>
        </w:rPr>
      </w:pPr>
    </w:p>
    <w:p w:rsidR="008B4D35" w:rsidRDefault="005015F5">
      <w:pPr>
        <w:pStyle w:val="Bezproreda1"/>
        <w:spacing w:line="276" w:lineRule="auto"/>
        <w:jc w:val="both"/>
      </w:pPr>
      <w:r>
        <w:rPr>
          <w:rStyle w:val="Neupadljivoisticanje1"/>
          <w:rFonts w:cs="Calibri"/>
          <w:i w:val="0"/>
          <w:iCs w:val="0"/>
          <w:color w:val="auto"/>
        </w:rPr>
        <w:t xml:space="preserve">Materijalni rashodi (račun 32) realizirani su u iznosu 83.079,77 eur odnosno 10,02% manje u odnosu na izvršenje prethodne godine. Na računu </w:t>
      </w:r>
      <w:r>
        <w:t>3212 Na</w:t>
      </w:r>
      <w:r>
        <w:t>knade za prijevoz, za rad na terenu i odvojen život – iskazan je porast zbog porasta cijene prijevoza na posao i s posla te većeg broja djelatnika koji ostvaruju pravo na navedenu naknadu.</w:t>
      </w: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t>Na računu 3222 Materijal i sirovine – smanjenje troškova zbog nabav</w:t>
      </w:r>
      <w:r>
        <w:t>ke zaliha u 2022. godini.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</w:rPr>
      </w:pPr>
      <w:r>
        <w:rPr>
          <w:rStyle w:val="Neupadljivoisticanje1"/>
          <w:i w:val="0"/>
          <w:iCs w:val="0"/>
          <w:color w:val="auto"/>
        </w:rPr>
        <w:t>329  – smanjeni rashodi za 39% u odnosu na 2022. godinu budući je  u 2023. isplata pravomoćnih sudskih presuda zaposlenicima radi isplate razlike plaće za razdoblje 12/2015-1/2017 izvršena.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</w:rPr>
      </w:pPr>
      <w:r>
        <w:rPr>
          <w:rStyle w:val="Neupadljivoisticanje1"/>
          <w:i w:val="0"/>
          <w:color w:val="auto"/>
        </w:rPr>
        <w:t>Financijski rashodi na računu 34 ostva</w:t>
      </w:r>
      <w:r>
        <w:rPr>
          <w:rStyle w:val="Neupadljivoisticanje1"/>
          <w:i w:val="0"/>
          <w:color w:val="auto"/>
        </w:rPr>
        <w:t>reni 99,09%, u odnosu na plan, a u odnosu na 2022. godinu 5,30% te se odnose na 3433 zatezne kamate. Škola je izvršila posljednje isplate po sudskim presudama za jednog zaposlenika te više nema potencijalnih obveza po osnovi sudskih sporova</w:t>
      </w:r>
      <w:r>
        <w:rPr>
          <w:rStyle w:val="Neupadljivoisticanje1"/>
        </w:rPr>
        <w:t>.</w:t>
      </w:r>
    </w:p>
    <w:p w:rsidR="008B4D35" w:rsidRDefault="008B4D35">
      <w:pPr>
        <w:pStyle w:val="Bezproreda1"/>
        <w:spacing w:line="276" w:lineRule="auto"/>
        <w:jc w:val="both"/>
        <w:rPr>
          <w:rStyle w:val="Neupadljivoisticanje1"/>
          <w:i w:val="0"/>
        </w:rPr>
      </w:pP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color w:val="auto"/>
        </w:rPr>
      </w:pPr>
      <w:r>
        <w:rPr>
          <w:rStyle w:val="Neupadljivoisticanje1"/>
          <w:i w:val="0"/>
          <w:color w:val="auto"/>
        </w:rPr>
        <w:t>Rashodi za na</w:t>
      </w:r>
      <w:r>
        <w:rPr>
          <w:rStyle w:val="Neupadljivoisticanje1"/>
          <w:i w:val="0"/>
          <w:color w:val="auto"/>
        </w:rPr>
        <w:t>bavu nefinancijske imovine na razredu 4 izvršeni su 48,35% u odnosu na plan 2023. godine te 1.195,22% više u odnosu na prethodnu godinu, a odnose se najvećim dijelom na nabavku 12 novih računala za učionicu arhitekata.</w:t>
      </w:r>
    </w:p>
    <w:p w:rsidR="008B4D35" w:rsidRDefault="008B4D35">
      <w:pPr>
        <w:jc w:val="center"/>
        <w:rPr>
          <w:rFonts w:ascii="Calibri" w:hAnsi="Calibri" w:cs="Calibri"/>
          <w:b/>
          <w:szCs w:val="24"/>
        </w:rPr>
      </w:pPr>
    </w:p>
    <w:p w:rsidR="008B4D35" w:rsidRDefault="005015F5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OBRAZLOŽENJE POSEBNOG DIJELA POLUGOD</w:t>
      </w:r>
      <w:r>
        <w:rPr>
          <w:rFonts w:ascii="Calibri" w:hAnsi="Calibri" w:cs="Calibri"/>
          <w:b/>
          <w:szCs w:val="24"/>
        </w:rPr>
        <w:t>IŠNJEG IZVJEŠTAJA O IZVRŠENJU FINANCIJSKOG PLANA ZA 2023. GODINU</w:t>
      </w:r>
    </w:p>
    <w:p w:rsidR="008B4D35" w:rsidRDefault="008B4D35">
      <w:pPr>
        <w:jc w:val="left"/>
        <w:rPr>
          <w:rFonts w:ascii="Calibri" w:hAnsi="Calibri" w:cs="Calibri"/>
          <w:b/>
          <w:szCs w:val="24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224"/>
        <w:gridCol w:w="7983"/>
      </w:tblGrid>
      <w:tr w:rsidR="008B4D35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lastRenderedPageBreak/>
              <w:t>NAZIV KORISNIKA:</w:t>
            </w:r>
          </w:p>
          <w:p w:rsidR="008B4D35" w:rsidRDefault="005015F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SAŽETAK DJELOKRUGA RADA:</w:t>
            </w: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8B4D35">
            <w:pPr>
              <w:rPr>
                <w:rFonts w:ascii="Calibri Light" w:hAnsi="Calibri Light" w:cs="Calibri Light"/>
                <w:bCs/>
              </w:rPr>
            </w:pPr>
          </w:p>
          <w:p w:rsidR="008B4D35" w:rsidRDefault="005015F5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sz w:val="20"/>
                <w:szCs w:val="16"/>
              </w:rPr>
              <w:t>IZVRŠENJE 1.-6.2023.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4D35" w:rsidRDefault="008B4D35">
            <w:pPr>
              <w:rPr>
                <w:rFonts w:ascii="Calibri Light" w:hAnsi="Calibri Light" w:cs="Calibri Light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ŠKOLA PRIMIJENJENE UMJETNOSTI I DIZAJNA OSIJEK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Škola primijenjene umjetnosti i dizajna Osijek je jedina  škola u regiji koja nudi srednjoškolsko obrazovanje u području likovne umjetnosti i dizajna te kao takva ima jedinstven profil koji je prepoznatljiv i cijenjen kako od učenika, roditelja tako i od 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truke i lokalne zajednice. Škola nastoji ravnomjerno uravnotežiti sadržaje općeobrazovnih nastavnih predmeta te stručno-teorijskih nastavnih predmeta. Nastava se odvija u petodnevnom radnom tjednu, a iznimno se nastava održava i subotom. Nastava se odvija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 A i B smjeni. 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smjeni prvi i treći razredi nastavu pohađaju prije podne, a drugi i četvrti poslije podne. 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smjeni drugi i četvrti razredi nastavu pohađaju prijepodne, dok prvi i treći razredi  poslije podne. Nastava (redovna, izborna, dopunska, dod</w:t>
            </w:r>
            <w:r>
              <w:rPr>
                <w:rFonts w:ascii="Calibri" w:hAnsi="Calibri" w:cs="Calibri"/>
                <w:sz w:val="22"/>
                <w:szCs w:val="22"/>
              </w:rPr>
              <w:t>atna i fakultativna) se izvodi prema nastavnim planovima i programima, koje je donijelo Ministarstvo znanosti i obrazovanja,   Godišnjem planu i programu rada Škole, te Školskom kurikulumu za školsku godinu 2022./2023. Škola broji 328 učenika i ima 16 razr</w:t>
            </w:r>
            <w:r>
              <w:rPr>
                <w:rFonts w:ascii="Calibri" w:hAnsi="Calibri" w:cs="Calibri"/>
                <w:sz w:val="22"/>
                <w:szCs w:val="22"/>
              </w:rPr>
              <w:t>ednih odjela. Planirano je da se i sljedeće školske godine 2023./2024.  nastava odvija u 16 razrednih odjela te da se broj učenika neće smanjiti.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i/>
                <w:sz w:val="22"/>
                <w:szCs w:val="22"/>
              </w:rPr>
            </w:pPr>
            <w:bookmarkStart w:id="1" w:name="_Hlk84402559"/>
            <w:r>
              <w:rPr>
                <w:rFonts w:ascii="Calibri" w:hAnsi="Calibri" w:cs="Calibri"/>
                <w:sz w:val="22"/>
                <w:szCs w:val="22"/>
              </w:rPr>
              <w:t>Redovni program odgoja i obrazovanja financira se po modelu propisanom od strane nadležnog Ministarstva i Žup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anije kao osnivača Škole, kao i iz sredstava od participacije učenika u troškovima školovanja sukladno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Zakonu o umjetničkom obrazovanju.</w:t>
            </w:r>
            <w:bookmarkEnd w:id="1"/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Pregled financijskih sredstava po programima.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7621" w:type="dxa"/>
              <w:tblLook w:val="04A0" w:firstRow="1" w:lastRow="0" w:firstColumn="1" w:lastColumn="0" w:noHBand="0" w:noVBand="1"/>
            </w:tblPr>
            <w:tblGrid>
              <w:gridCol w:w="639"/>
              <w:gridCol w:w="3520"/>
              <w:gridCol w:w="1300"/>
              <w:gridCol w:w="1028"/>
              <w:gridCol w:w="1265"/>
            </w:tblGrid>
            <w:tr w:rsidR="008B4D35">
              <w:trPr>
                <w:trHeight w:val="555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Naziv programa 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2023.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1.-6.2023.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(Izvršenje/Plan)</w:t>
                  </w:r>
                </w:p>
              </w:tc>
            </w:tr>
            <w:tr w:rsidR="008B4D35">
              <w:trPr>
                <w:trHeight w:val="390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1207 RAZVOJ ODGOJNO-OBRAZOVNOG SUSTAVA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4.013,00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1.506,09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37,53 %</w:t>
                  </w:r>
                </w:p>
              </w:tc>
            </w:tr>
            <w:tr w:rsidR="008B4D35">
              <w:trPr>
                <w:trHeight w:val="450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145.360,00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66.175,17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45,53%</w:t>
                  </w:r>
                </w:p>
              </w:tc>
            </w:tr>
            <w:tr w:rsidR="008B4D35">
              <w:trPr>
                <w:trHeight w:val="400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1.293.071,00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663.852,61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51,34 %</w:t>
                  </w:r>
                </w:p>
              </w:tc>
            </w:tr>
            <w:tr w:rsidR="008B4D35">
              <w:trPr>
                <w:trHeight w:val="435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Sveukupno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1.442.444,00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738.385,53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51,19%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B4D35" w:rsidRDefault="008B4D35">
      <w:pPr>
        <w:rPr>
          <w:rFonts w:ascii="Calibri Light" w:hAnsi="Calibri Light" w:cs="Calibri Light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36"/>
        <w:gridCol w:w="7970"/>
      </w:tblGrid>
      <w:tr w:rsidR="008B4D35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NAZIV PROGRAMA:</w:t>
            </w:r>
          </w:p>
          <w:p w:rsidR="008B4D35" w:rsidRDefault="008B4D35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OPIS</w:t>
            </w: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PROGRAMA, OPĆI I POSEBNI CILJEVI: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IZVRŠENJE 1.-6.2023.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POKAZATELJI USPJEŠNOSTI: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OBRAZLOŽENJE: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4D35" w:rsidRDefault="008B4D35">
            <w:pPr>
              <w:rPr>
                <w:rFonts w:ascii="Calibri Light" w:hAnsi="Calibri Light" w:cs="Calibri Light"/>
              </w:rPr>
            </w:pPr>
          </w:p>
        </w:tc>
        <w:tc>
          <w:tcPr>
            <w:tcW w:w="7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7007 FINANCIRANJE SREDNJEG ŠKOLSTVA PREMA MINIMALNOM STANDARDU</w:t>
            </w:r>
          </w:p>
          <w:p w:rsidR="008B4D35" w:rsidRDefault="005015F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(Daje se opis programa, definira se jedan ili više ciljeva koji će dati jasnu sliku o tome što će proračunski korisnik konkretno postići provođenjem programa)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Srednjoškolski odgoj i obrazovanje učenika koje se ostvaruje kroz: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-poticanje i unapređivanje cje</w:t>
            </w:r>
            <w:r>
              <w:rPr>
                <w:rFonts w:ascii="Calibri" w:hAnsi="Calibri" w:cs="Calibri"/>
                <w:sz w:val="22"/>
                <w:szCs w:val="22"/>
              </w:rPr>
              <w:t>lovitog razvoja učenika u skladu s njegovim potrebama, sposobnostima i sklonostima,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-poticanje za sudjelovanje na sportskim aktivnostima, uključivanje kroz natjecanja na školskoj razini, županijskoj i državnoj razini,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-stručno usavršavanje nastavnika, sudj</w:t>
            </w:r>
            <w:r>
              <w:rPr>
                <w:rFonts w:ascii="Calibri" w:hAnsi="Calibri" w:cs="Calibri"/>
                <w:sz w:val="22"/>
                <w:szCs w:val="22"/>
              </w:rPr>
              <w:t>elovanje u radu stručnih vijeća i različitih povjerenstava, broj  nastavnika koji napreduju u zvanja,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-organiziranje zajedničkih aktivnosti učenika i nastavnika,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-uključivanje učenika u različite oblike rada i aktivnosti kojima se promiče i ostvaruje kreat</w:t>
            </w:r>
            <w:r>
              <w:rPr>
                <w:rFonts w:ascii="Calibri" w:hAnsi="Calibri" w:cs="Calibri"/>
                <w:sz w:val="22"/>
                <w:szCs w:val="22"/>
              </w:rPr>
              <w:t>ivnost, poduzetnost i inicijativnost.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Prioritet Škole je kvalitetno obrazovanje i odgoj učenika što se ostvaruje:</w:t>
            </w:r>
          </w:p>
          <w:p w:rsidR="008B4D35" w:rsidRDefault="005015F5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stalnim usavršavanjem nastavnika (stručna predavanja, aktivi, stručni skupovi, seminari) i uzastopnim podizanjem standarda nastavnoga procesa na višu razinu;</w:t>
            </w:r>
          </w:p>
          <w:p w:rsidR="008B4D35" w:rsidRDefault="005015F5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poticanjem učenika na izražavanje kreativnosti, talenta i sposobnosti kroz uključivanje u izvannas</w:t>
            </w:r>
            <w:r>
              <w:rPr>
                <w:rFonts w:ascii="Calibri" w:hAnsi="Calibri" w:cs="Calibri"/>
                <w:sz w:val="22"/>
                <w:szCs w:val="22"/>
              </w:rPr>
              <w:t>tavne aktivnosti, dodatne aktivnosti, natjecanja te druge školske projekte;</w:t>
            </w:r>
          </w:p>
          <w:p w:rsidR="008B4D35" w:rsidRDefault="005015F5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organiziranjem zajedničkih aktivnosti učenika i nastavnika tijekom izvannastavnih, izvanškolskih aktivnosti i projekata te organiziranom terenskom nastavom kojom učenici upoznaju m</w:t>
            </w:r>
            <w:r>
              <w:rPr>
                <w:rFonts w:ascii="Calibri" w:hAnsi="Calibri" w:cs="Calibri"/>
                <w:sz w:val="22"/>
                <w:szCs w:val="22"/>
              </w:rPr>
              <w:t>ogućnosti lokane zajednice i kulturnu baštinu, ali i kulturu, umjetnost i običaje drugih zemalja;</w:t>
            </w:r>
          </w:p>
          <w:p w:rsidR="008B4D35" w:rsidRDefault="005015F5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poticanjem razvoja pozitivnih vrijednosti kroz volonterski rad i razne humanitarne akcije te natjecateljskoga duha kroz priznanja i nagrade najuspješnijima;</w:t>
            </w:r>
          </w:p>
          <w:p w:rsidR="008B4D35" w:rsidRDefault="005015F5">
            <w:pPr>
              <w:numPr>
                <w:ilvl w:val="0"/>
                <w:numId w:val="1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oticanjem poduzetničkog duha učenika kroz motiviranje za rad u raznovrsnim radionicama i sekcijama, te plasiranjem gotovih proizvoda i umjetnina u  Učeničku zadrugu LUD.</w:t>
            </w:r>
          </w:p>
          <w:p w:rsidR="008B4D35" w:rsidRDefault="008B4D35">
            <w:pPr>
              <w:ind w:left="780"/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Kroz sredstva programa 7007 Financiranje srednjeg školstva prema minimalnom standardu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cilj je financirati sve režijske troškove i troškove održavanja objekta (zgrada škole i dvorana), usavršavati djelatnike za podizanje kvalitete nastave, osigurati sav potreban uredski materijal, zdravstvene preglede radnika i sl. 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Zakon o odgoju i obrazo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vanju u osnovnoj i srednjoj školi (Narodne novine , br. 87/08, 86/09, 92/10, 105/11, 90/11, 5/12, 16/12, 86/12, 126/12, 94/13, 152/14, 7/17, 68/18, 98/19, 64/20.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Zakona o ustanovama (Narodne novine br. 76/93, 29/97, 47/99, 35/08, 127/19).</w:t>
            </w:r>
          </w:p>
          <w:p w:rsidR="008B4D35" w:rsidRDefault="005015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Zakon o proraču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nu (Narodne novine broj 144/21, Pravilnik o proračunskim klasifikacijama (Narodne novine broj 26/10, 120/13 i 001/20), Pravilnik o proračunskom računovodstvu i </w:t>
            </w:r>
          </w:p>
          <w:p w:rsidR="008B4D35" w:rsidRDefault="005015F5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računskom planu (Narodne novine broj 124/14, 115/15, 87/16, 003/18, 126/19 i 108/20), Zakon o f</w:t>
            </w:r>
            <w:r>
              <w:rPr>
                <w:rFonts w:ascii="Calibri" w:hAnsi="Calibri" w:cs="Calibri"/>
                <w:sz w:val="22"/>
                <w:szCs w:val="22"/>
              </w:rPr>
              <w:t>iskalnoj odgovornosti (Narodne novine broj 111/18)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Podaci za izradu Odluke o izmjenama i dopunama Proračuna Osječko-baranjske županije za 2023. godinu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Godišnji plan i program rada za školsku godinu 2022./2023.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Školski kurikulum </w:t>
            </w:r>
            <w:r>
              <w:rPr>
                <w:rFonts w:ascii="Calibri" w:hAnsi="Calibri" w:cs="Calibri"/>
                <w:sz w:val="22"/>
                <w:szCs w:val="22"/>
              </w:rPr>
              <w:t>Škole primijenjene umjetnosti i dizajna za školsku godinu 2022./2023.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Pregled potrebnih sredstva za provedbu programa:</w:t>
            </w:r>
          </w:p>
          <w:tbl>
            <w:tblPr>
              <w:tblW w:w="7700" w:type="dxa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1200"/>
              <w:gridCol w:w="1300"/>
              <w:gridCol w:w="1240"/>
            </w:tblGrid>
            <w:tr w:rsidR="008B4D35">
              <w:trPr>
                <w:trHeight w:val="49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R.br.</w:t>
                  </w:r>
                </w:p>
              </w:tc>
              <w:tc>
                <w:tcPr>
                  <w:tcW w:w="3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Plan za 2023.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Izvršenje 1.-6.2023.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Indeks (Izvršenje/Plan)</w:t>
                  </w:r>
                </w:p>
              </w:tc>
            </w:tr>
            <w:tr w:rsidR="008B4D35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1.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1.327,00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866,87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65,33%</w:t>
                  </w:r>
                </w:p>
              </w:tc>
            </w:tr>
            <w:tr w:rsidR="008B4D35">
              <w:trPr>
                <w:trHeight w:val="495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lastRenderedPageBreak/>
                    <w:t xml:space="preserve"> 2.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22.470,00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14.215,68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63,27%</w:t>
                  </w:r>
                </w:p>
              </w:tc>
            </w:tr>
            <w:tr w:rsidR="008B4D35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3. 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121.563,00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51.344,28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42,24%</w:t>
                  </w:r>
                </w:p>
              </w:tc>
            </w:tr>
            <w:tr w:rsidR="008B4D35">
              <w:trPr>
                <w:trHeight w:val="480"/>
              </w:trPr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4D35" w:rsidRDefault="005015F5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145.360,00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66.175,17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B4D35" w:rsidRDefault="005015F5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45,53%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7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2"/>
              <w:gridCol w:w="984"/>
              <w:gridCol w:w="1284"/>
              <w:gridCol w:w="1514"/>
            </w:tblGrid>
            <w:tr w:rsidR="008B4D35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Pokazatelj uspješnosti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Polazna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vrijednost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Ciljana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vrijednost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2023.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Ostvarena vrijednost 1.-6.2023.</w:t>
                  </w:r>
                </w:p>
                <w:p w:rsidR="008B4D35" w:rsidRDefault="008B4D3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8B4D35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Za aktivnost pod 1. – S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tručno usavršavanje djelatnika (broj seminara, simpozija, stručnih skupova)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2.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3.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Održavanje školske dvorane u stanju adekvatnom za odgoj i obrazovanje 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3.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>Održavanje školske zgrade u stanju adekvatnom za odgoj i obrazovanje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r>
              <w:rPr>
                <w:rFonts w:ascii="Calibri" w:hAnsi="Calibri" w:cs="Calibri"/>
                <w:bCs/>
                <w:sz w:val="22"/>
                <w:szCs w:val="22"/>
                <w:lang w:eastAsia="hr-HR"/>
              </w:rPr>
              <w:t>7007 FINANCIRANJE SREDNJEG ŠKOLSTVA PREMA MINIMALNOM STANDARDU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ostvaren je u iznosu od 66.175,17 eura ili 45,53 % u odnosu na godišnji plan.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Aktivnosti i projekti izvršeni su u skladu sa planiranom dinamikom. 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Realizacijom programa ostvareni su </w:t>
            </w:r>
            <w:r>
              <w:rPr>
                <w:rFonts w:ascii="Calibri" w:hAnsi="Calibri" w:cs="Calibri"/>
                <w:sz w:val="22"/>
                <w:szCs w:val="22"/>
              </w:rPr>
              <w:t>sljedeći ciljevi: osigurani su uvjeti za izvođenje obveznog programa na propisanoj razini te njegovo obuhvaćanje sadržajima po mjeri učenika.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-trajna i ujednačena kvaliteta komuniciranja i razmjena podataka između škole i Upravnog odjela te daljnja razrada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kriterija i mjerila decentraliziranog financiranja radi postizanja što racionalnijeg i ekonomičnijeg financiranja škole.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-stvaranje kvalitetnih uvjeta za rad škole vodeći brigu o ravnomjernom razvoju koji će omogućiti izvođenje suvremene nastave te pobolj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šati standard postojeće školske zgrade i opreme.  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8B4D35" w:rsidRDefault="008B4D35">
      <w:pPr>
        <w:rPr>
          <w:rFonts w:ascii="Calibri Light" w:hAnsi="Calibri Light" w:cs="Calibri Light"/>
        </w:rPr>
      </w:pPr>
    </w:p>
    <w:p w:rsidR="008B4D35" w:rsidRDefault="008B4D35">
      <w:pPr>
        <w:rPr>
          <w:rFonts w:ascii="Calibri Light" w:hAnsi="Calibri Light" w:cs="Calibri Light"/>
        </w:rPr>
      </w:pPr>
    </w:p>
    <w:p w:rsidR="008B4D35" w:rsidRDefault="008B4D35">
      <w:pPr>
        <w:rPr>
          <w:rFonts w:ascii="Calibri Light" w:hAnsi="Calibri Light" w:cs="Calibri Light"/>
        </w:rPr>
      </w:pPr>
    </w:p>
    <w:p w:rsidR="008B4D35" w:rsidRDefault="008B4D35">
      <w:pPr>
        <w:rPr>
          <w:rFonts w:ascii="Calibri Light" w:hAnsi="Calibri Light" w:cs="Calibri Light"/>
        </w:rPr>
      </w:pPr>
    </w:p>
    <w:p w:rsidR="008B4D35" w:rsidRDefault="008B4D35">
      <w:pPr>
        <w:rPr>
          <w:rFonts w:ascii="Calibri Light" w:hAnsi="Calibri Light" w:cs="Calibri Light"/>
        </w:rPr>
      </w:pPr>
    </w:p>
    <w:p w:rsidR="008B4D35" w:rsidRDefault="008B4D35">
      <w:pPr>
        <w:rPr>
          <w:rFonts w:ascii="Calibri Light" w:hAnsi="Calibri Light" w:cs="Calibri Light"/>
        </w:rPr>
      </w:pPr>
    </w:p>
    <w:tbl>
      <w:tblPr>
        <w:tblW w:w="10437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"/>
        <w:gridCol w:w="2285"/>
        <w:gridCol w:w="122"/>
        <w:gridCol w:w="113"/>
        <w:gridCol w:w="123"/>
        <w:gridCol w:w="7175"/>
        <w:gridCol w:w="502"/>
      </w:tblGrid>
      <w:tr w:rsidR="008B4D35">
        <w:trPr>
          <w:gridBefore w:val="1"/>
          <w:gridAfter w:val="1"/>
          <w:wBefore w:w="117" w:type="dxa"/>
          <w:wAfter w:w="502" w:type="dxa"/>
        </w:trPr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NAZIV PROGRAMA:</w:t>
            </w: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OPIS PROGRAMA, OPĆI I POSEBNI CILJEVI: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IZVRŠENJE 1.-6.-2023.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POKAZATELJI USPJEŠNOSTI: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OBRAZLOŽENJE:</w:t>
            </w: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1207 RAZVOJ ODGOJNO-OBRAZOVNOG SUSTAVA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Budući da je Škola, odnosno učenici Škole, redovito sudjeluju na natjecanjima, osigurani su troškovi plaća zaposlenika, uredskog materijala i reprezentacije.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Sufinanciranjem obvezne školske lektire od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strane Osnivača, cilj je pridonijeti boljoj opremljenosti školskih knjižnica dovoljnim brojem primjeraka školske lektire i stručne literature u svrhu kvalitetnije realizacije obrazovnih programa.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Mjerom školska shema voća, povrća i mlijeka , učenicima je </w:t>
            </w:r>
            <w:r>
              <w:rPr>
                <w:rFonts w:ascii="Calibri" w:hAnsi="Calibri" w:cs="Calibri"/>
                <w:sz w:val="22"/>
                <w:szCs w:val="22"/>
              </w:rPr>
              <w:t>od strane Osnivača osigurano svježe voće najmanje jednom tjedno.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Zakon o odgoju i obrazovanju u osnovnoj i srednjoj školi (Narodne novine broj 87/08, 86/09, 92/10,105/10, 90/11, 5/12,16/12, 86/12, 126/12, 94/13,152/14 , 07/17, 68/18, 98/19 i 64/20)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Zakon o ustanovama (Narodne novine broj 76/93, 29/97,47/99, 35/08 i 127/19)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Zakon o proračunu (Narodne novine 144/21), Pravilnik o proračunskim klasifikacijama (Narodne novine broj 26/10, 120/13 i 001/20), Pravilnik o proračunskom računovodstvu i računskom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planu (Narodne novine broj 124/14, 115/15, 87/16, 003/18, 126/19 i 108/20), Zakon o fiskalnoj odgovornosti (Narodne novine broj 111/18)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Podaci za izradu Odluke o izmjenama i dopunama Proračuna Osječko-baranjske županije za 2023. godinu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Zakon o uspostavi </w:t>
            </w:r>
            <w:r>
              <w:rPr>
                <w:rFonts w:ascii="Calibri" w:hAnsi="Calibri" w:cs="Calibri"/>
                <w:sz w:val="22"/>
                <w:szCs w:val="22"/>
              </w:rPr>
              <w:t>institucionalnog okvira za korištenje strukturnih instrumenata Europske unije u Republici Hrvatskoj.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Pregled  financijskih sredstava po aktivnostima/projektima unutar programa: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B4D35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Plan za 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Izvršenje 1.-6.2023.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Indeks (Izvršenje/Plan)</w:t>
                  </w:r>
                </w:p>
              </w:tc>
            </w:tr>
            <w:tr w:rsidR="008B4D35">
              <w:trPr>
                <w:cantSplit/>
                <w:trHeight w:val="43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spacing w:after="160" w:line="259" w:lineRule="auto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A1207 04 Organizacija i izvođenje natjecanja i smotri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251,00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248,82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99,13 %</w:t>
                  </w:r>
                </w:p>
              </w:tc>
            </w:tr>
            <w:tr w:rsidR="008B4D35">
              <w:trPr>
                <w:cantSplit/>
                <w:trHeight w:val="332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spacing w:after="160" w:line="259" w:lineRule="auto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K1207 17 Sufinanciranje obavezne školske lektire u osnovnim i srednjim školama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166,00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0,00 %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spacing w:after="160" w:line="259" w:lineRule="auto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T1207 20 Shema – voće, povrće i mlijeko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2.246,00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1.257,27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55,98 %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spacing w:after="160" w:line="259" w:lineRule="auto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A1207 33 Programi i projekti u odgoju i obrazovanju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1.350,00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0,00 %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4.013,00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1.506,09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37,53%</w:t>
                  </w:r>
                </w:p>
              </w:tc>
            </w:tr>
          </w:tbl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6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9"/>
              <w:gridCol w:w="1187"/>
              <w:gridCol w:w="993"/>
              <w:gridCol w:w="1230"/>
            </w:tblGrid>
            <w:tr w:rsidR="008B4D35">
              <w:trPr>
                <w:cantSplit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Pokazatelj uspješnosti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Polazna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Ciljana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vrijednost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Ostvarena vrijednost 1.-6.2023.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4.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Broj djece koja će sudjelovati na državnom natjecanju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lastRenderedPageBreak/>
                    <w:t xml:space="preserve">Za aktivnost pod 1.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Broj djece koja će sudjelovati na županijskom natjecanju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74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2.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 xml:space="preserve">Kupnja knjiga za obveznu školsku lektiru 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3.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Za svakog učenika osigurano svježe voće, povrće ili mlijeko minimalno jednom tjedno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331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1207 – Razvoj odgojno-obrazovnog sustava ostvaren je u iznosu od 1.506,09 eura ili 37,53 % u odnosu na godišnji plan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Aktivnosti i projekti izvršeni su u skladu sa planiranom dinamikom.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Aktivnost A1207 04 ORGANIZACIJA I IZVOĐENJE NATJECANJA I SMOTRI izvršena je u cijelosti, jer je održano županijsko natjecanje LIK 2023. 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Aktivnost A1707 33 PROGRAMI I PROJEKTU U ODGOJU 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OBRAZOVANJU je u stvarnosti izvršena, ali se čeka preknjiženje troškova na navedeni izvor od strane Županije nakon čega će Škola napraviti isto.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Aktivnost T1207 20 SHEMA - VOĆE, POVRĆE I MLIJEKO izvršava se u skladu s planiranom dinamikom projekta. </w:t>
            </w: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Izuz</w:t>
            </w:r>
            <w:r>
              <w:rPr>
                <w:rFonts w:ascii="Calibri" w:hAnsi="Calibri" w:cs="Calibri"/>
                <w:sz w:val="22"/>
                <w:szCs w:val="22"/>
              </w:rPr>
              <w:t>etak je aktivnosti K1207 17 SUFINANCIRANJE OBAVEZNE ŠKOLSKE LEKTIRE U OSNOVNIM I SREDNJIM ŠKOLAMA kod koje se realizacija ove vrste rashoda očekuje u drugom dijelu godine.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8B4D35">
        <w:tc>
          <w:tcPr>
            <w:tcW w:w="2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pStyle w:val="Naslov1"/>
              <w:rPr>
                <w:rFonts w:ascii="Calibri" w:hAnsi="Calibri" w:cs="Calibri"/>
                <w:i w:val="0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OPIS PROGRAMA, OPĆI I POSEBNI CILJEVI: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ZAKONSKA OSNOVA ZA UVOĐENJE PROGRAMA: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IZVRŠENJE 1.-6.2023.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POKAZATELJI USPJEŠNOSTI: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OBRAZLOŽENJE: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D35" w:rsidRDefault="005015F5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>7011 FINANCIRANJE ŠKOLSTVA IZVAN ŽUPANIJSKOG PRORAČUNA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Djelatnost srednjoškolskog odgoja i obrazovanja ostvaruje se u skladu s odredbama Zakona o odgoju i obrazovanju u osnovnoj i srednjoj školi podzakonskim aktima (Pravilnicima), Zakona o ustanovama, naputcima savjetnika Agencije za odgoj i obrazovanje, odnos</w:t>
            </w:r>
            <w:r>
              <w:rPr>
                <w:rFonts w:ascii="Calibri" w:hAnsi="Calibri" w:cs="Calibri"/>
                <w:sz w:val="22"/>
                <w:szCs w:val="22"/>
              </w:rPr>
              <w:t>no voditelja Županijskih stručnih vijeća te Upravnog odjela za obrazovanje i mlade Osječko-baranjske županije.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Kroz navedeni program (izvor financiranje 5410) cilj je osigurati plaće sa svim doprinosima za sve djelatnike škole. Osim toga, osigurani su dod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aci u vidu božićnice, regresa, otpremnina, pomoći za dugotrajno bolovanje i sl. 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Kroz izvor 3210 navedenog programa cilj je unaprjeđivati nastavu kontinuiranim ulaganjem u školsku opremu te njezino održavanje. 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Programom 7011 Škola primijenjene umjetnosti i dizajna također ostvaruje prihode iz izvora 4910 (Prihod za posebne namjene). Većina prihoda ostvarena je  kroz participacije učenika i namijenjena je za nastavne materijale pa je shodno tome cilj osigurati kv</w:t>
            </w:r>
            <w:r>
              <w:rPr>
                <w:rFonts w:ascii="Calibri" w:hAnsi="Calibri" w:cs="Calibri"/>
                <w:sz w:val="22"/>
                <w:szCs w:val="22"/>
              </w:rPr>
              <w:t>alitetnu nastavu svim učenicima</w:t>
            </w: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Zakon o odgoju i obrazovanju u osnovnoj i srednjoj školi (Narodne novine broj 87/08, 86/09, 92/10,105/10, 90/11, 5/12,16/12, 86/12, 126/12, 94/13,152/14 , 07/17, 68/18, 98/19 i 64/20) </w:t>
            </w:r>
          </w:p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Zakon o ustanovama (Narodne novine broj 76/93, 29/97,47/99, 35/08 i 127/19)</w:t>
            </w:r>
          </w:p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Zakon o proračunu (Narodne novine broj 144/21), Pravilnik o proračunskim klasifikacijama (Narodne novine broj 26/10, 120/13 i 001/20), Pravilnik o proračunskom računovodstvu i raču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nskom planu (Narodne novine broj 124/14, 115/15, 87/16, 003/18, 126/19 i 108/20), Zakon o fiskalnoj odgovornosti (Narodne novine broj 111/18)</w:t>
            </w:r>
          </w:p>
          <w:p w:rsidR="008B4D35" w:rsidRDefault="005015F5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Podaci za izradu Odluke o izmjenama i dopunama Proračuna Osječko-baranjske županije za 2023. godinu </w:t>
            </w:r>
          </w:p>
          <w:p w:rsidR="008B4D35" w:rsidRDefault="008B4D3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Pregled fina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ncijskih sredstava po aktivnostima/projektima unutar programa: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8B4D35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Izvršenje 1.-6.2023.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>Indeks (Izvršenje/Plan)</w:t>
                  </w:r>
                </w:p>
              </w:tc>
            </w:tr>
            <w:tr w:rsidR="008B4D35">
              <w:trPr>
                <w:cantSplit/>
                <w:trHeight w:val="39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Izvor 5410 - Pomoći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1.235.366,00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641.003,74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51,89 %</w:t>
                  </w:r>
                </w:p>
              </w:tc>
            </w:tr>
            <w:tr w:rsidR="008B4D35">
              <w:trPr>
                <w:cantSplit/>
                <w:trHeight w:val="348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Izvor 4910 – Prihodi za posebne namjene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31.504,00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11.896,71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37,76 %</w:t>
                  </w:r>
                </w:p>
              </w:tc>
            </w:tr>
            <w:tr w:rsidR="008B4D35">
              <w:trPr>
                <w:cantSplit/>
                <w:trHeight w:val="446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Izvor 3210 – vlastiti prihodi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26.497,00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10.846,00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40,93 %</w:t>
                  </w:r>
                </w:p>
              </w:tc>
            </w:tr>
            <w:tr w:rsidR="008B4D35">
              <w:trPr>
                <w:cantSplit/>
                <w:trHeight w:val="424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Izvor 6210 - donacije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664,00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106,16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15,99 %</w:t>
                  </w:r>
                </w:p>
              </w:tc>
            </w:tr>
            <w:tr w:rsidR="008B4D35">
              <w:trPr>
                <w:cantSplit/>
                <w:trHeight w:val="215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numPr>
                      <w:ilvl w:val="0"/>
                      <w:numId w:val="4"/>
                    </w:numPr>
                    <w:tabs>
                      <w:tab w:val="left" w:pos="0"/>
                    </w:tabs>
                    <w:ind w:hanging="720"/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Izvor 7210 – prihodi od nefinancijske imovine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8B4D35">
              <w:trPr>
                <w:cantSplit/>
                <w:trHeight w:val="503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8B4D3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1.293.071,00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663.852,61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51,34 %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21"/>
              <w:gridCol w:w="1431"/>
              <w:gridCol w:w="1443"/>
              <w:gridCol w:w="1579"/>
            </w:tblGrid>
            <w:tr w:rsidR="008B4D35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lastRenderedPageBreak/>
                    <w:t>Pokazatelj uspješnosti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Polazna</w:t>
                  </w:r>
                </w:p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vrijednost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Ciljana</w:t>
                  </w:r>
                </w:p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vrijednost</w:t>
                  </w:r>
                </w:p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B4D35" w:rsidRDefault="005015F5">
                  <w:pPr>
                    <w:pStyle w:val="Naslov7"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>Nova vrijednost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7.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i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Osigurani nastavni materijali za učenike (izvor 4910)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328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331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7.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Postupno i kontinuirano unaprjeđivanje kvalitete nastave kroz realizaciju naprednijih informatičkih rješenja (kupnju računala iz izvora 4910)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8</w:t>
                  </w:r>
                </w:p>
              </w:tc>
            </w:tr>
            <w:tr w:rsidR="008B4D35">
              <w:trPr>
                <w:cantSplit/>
              </w:trPr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Za aktivnost pod 7. – </w:t>
                  </w:r>
                </w:p>
                <w:p w:rsidR="008B4D35" w:rsidRDefault="005015F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Postupno i kontinuirano unaprjeđivanje kvalitete nastave kroz realizaciju napredniji</w:t>
                  </w:r>
                  <w:r>
                    <w:rPr>
                      <w:rFonts w:ascii="Calibri" w:hAnsi="Calibri" w:cs="Calibri"/>
                      <w:i/>
                      <w:sz w:val="16"/>
                      <w:szCs w:val="16"/>
                    </w:rPr>
                    <w:t>h informatičkih rješenja (kupnju računala iz izvora 3210)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4D35" w:rsidRDefault="005015F5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</w:p>
              </w:tc>
            </w:tr>
          </w:tbl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 7011 FINANCIRANJE ŠKOLSTVA IZVAN ŽUPANIJSKOG PRORAČUNA ostvaren je u iznosu od 6663.852,61 eura ili 51,34 % u odnosu na godišnji plan.</w:t>
            </w: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Aktivnosti i projekti izvršeni su u skladu sa p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laniranom dinamikom. 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Škola ne provodi projekte financirane izvan županijskog proračuna te takve pokazatelje uspješnosti nema definirane.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Realizacijom programa ostvareni su sljedeći ciljevi: </w:t>
            </w: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-stručno i kvalitetno nastavno osoblje koje se potiče na daljnje usavršavanje kroz edukacije i cjeloživotno učenje, sudjelovanje u radu stručnih vijeća i različitih povjerenstava te napredovanja u zvanja.</w:t>
            </w:r>
          </w:p>
          <w:p w:rsidR="008B4D35" w:rsidRDefault="005015F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-održane su aktivnosti vezane uz obilježavanje broj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nih datuma i projektnih mogućnosti, nastavnike potičemo na potrebu stalnog stručnog usavršavanja. Neke oblike i sami organiziramo u okviru Nastavničkog i stručnih vijeća, a na neke usmjeravamo, prije svih na one koje organizira i provodi Agencija za odgoj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obrazovanje za koje postoji obveza, te na one koje su u domeni različitih stručnih društava na nacionalnoj razini. </w:t>
            </w: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B4D35" w:rsidRDefault="008B4D35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8B4D35">
      <w:pPr>
        <w:pStyle w:val="Podnoje"/>
        <w:rPr>
          <w:rFonts w:ascii="Calibri" w:hAnsi="Calibri" w:cs="Calibri"/>
          <w:sz w:val="22"/>
          <w:szCs w:val="22"/>
        </w:rPr>
      </w:pPr>
    </w:p>
    <w:p w:rsidR="008B4D35" w:rsidRDefault="005015F5">
      <w:pPr>
        <w:pStyle w:val="Bezproreda1"/>
        <w:rPr>
          <w:rFonts w:cs="Calibri"/>
          <w:b/>
        </w:rPr>
      </w:pPr>
      <w:r>
        <w:rPr>
          <w:rFonts w:cs="Calibri"/>
          <w:b/>
        </w:rPr>
        <w:lastRenderedPageBreak/>
        <w:t>POSEBNI IZVJEŠTAJI U POLUGODIŠNJEM IZVJEŠTAJU O IZVRŠENJU FINANCIJSKOG PLANA</w:t>
      </w:r>
    </w:p>
    <w:p w:rsidR="008B4D35" w:rsidRDefault="005015F5">
      <w:pPr>
        <w:pStyle w:val="000012"/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Škola nema 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>zaduživanja na domaćem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i stranom tržištu novca i kapitala, nije  koristila sredstava fondova Europske unije,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</w:rPr>
        <w:t>nema</w:t>
      </w:r>
      <w:r>
        <w:rPr>
          <w:rStyle w:val="zadanifontodlomka-000006"/>
          <w:rFonts w:ascii="Calibri" w:eastAsia="Calibri" w:hAnsi="Calibri" w:cs="Calibri"/>
          <w:sz w:val="22"/>
          <w:szCs w:val="22"/>
        </w:rPr>
        <w:t xml:space="preserve"> danih zajmovima i potraživanja po danim zajmovima, nema dospjelih obveza i potencijalnih obveza po osnovi sudskih sporova.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B4D35" w:rsidRDefault="005015F5">
      <w:pPr>
        <w:pStyle w:val="Bezproreda1"/>
        <w:spacing w:line="276" w:lineRule="auto"/>
        <w:jc w:val="both"/>
        <w:rPr>
          <w:rStyle w:val="Neupadljivoisticanje1"/>
          <w:i w:val="0"/>
          <w:iCs w:val="0"/>
          <w:color w:val="auto"/>
        </w:rPr>
      </w:pPr>
      <w:r>
        <w:rPr>
          <w:rStyle w:val="Neupadljivoisticanje1"/>
          <w:i w:val="0"/>
          <w:iCs w:val="0"/>
          <w:color w:val="auto"/>
        </w:rPr>
        <w:t>Iznos nenaplaćenih potraživanja za vlast</w:t>
      </w:r>
      <w:r>
        <w:rPr>
          <w:rStyle w:val="Neupadljivoisticanje1"/>
          <w:i w:val="0"/>
          <w:iCs w:val="0"/>
          <w:color w:val="auto"/>
        </w:rPr>
        <w:t>ite prihode na dan 30.06.2023. godine iznosi 2.045,62 eur, a odnosi se na potraživanja za prihode od pruženih usluga. Za sva potraživanja se pravovremeno poduzimaju mjere naplate. Iznos dospjelih potraživanja na dan 30.6.2023. iznosi 0,00 eur.</w:t>
      </w:r>
    </w:p>
    <w:p w:rsidR="008B4D35" w:rsidRDefault="008B4D35">
      <w:pPr>
        <w:pStyle w:val="Bezproreda1"/>
        <w:rPr>
          <w:rFonts w:cs="Calibri"/>
        </w:rPr>
      </w:pPr>
    </w:p>
    <w:p w:rsidR="008B4D35" w:rsidRDefault="008B4D35">
      <w:pPr>
        <w:pStyle w:val="Bezproreda1"/>
        <w:rPr>
          <w:rFonts w:cs="Calibri"/>
        </w:rPr>
      </w:pPr>
    </w:p>
    <w:p w:rsidR="008B4D35" w:rsidRDefault="005015F5">
      <w:pPr>
        <w:pStyle w:val="Bezproreda1"/>
        <w:jc w:val="right"/>
        <w:rPr>
          <w:rFonts w:cs="Calibri"/>
        </w:rPr>
      </w:pPr>
      <w:r>
        <w:rPr>
          <w:rFonts w:cs="Calibri"/>
        </w:rPr>
        <w:t>RAVNATELJI</w:t>
      </w:r>
      <w:r>
        <w:rPr>
          <w:rFonts w:cs="Calibri"/>
        </w:rPr>
        <w:t>CA:</w:t>
      </w:r>
    </w:p>
    <w:p w:rsidR="008B4D35" w:rsidRDefault="005015F5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Kristina Kopf</w:t>
      </w: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8B4D35">
      <w:pPr>
        <w:jc w:val="center"/>
        <w:rPr>
          <w:rFonts w:ascii="Calibri" w:hAnsi="Calibri" w:cs="Calibri"/>
          <w:sz w:val="22"/>
          <w:szCs w:val="22"/>
        </w:rPr>
      </w:pPr>
    </w:p>
    <w:p w:rsidR="008B4D35" w:rsidRDefault="008B4D35">
      <w:pPr>
        <w:jc w:val="right"/>
        <w:rPr>
          <w:rFonts w:ascii="Calibri" w:hAnsi="Calibri" w:cs="Calibri"/>
          <w:sz w:val="22"/>
          <w:szCs w:val="22"/>
        </w:rPr>
      </w:pPr>
    </w:p>
    <w:p w:rsidR="008B4D35" w:rsidRDefault="005015F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PREDSJEDNIK ŠKOLSKOG ODBORA:</w:t>
      </w:r>
    </w:p>
    <w:p w:rsidR="008B4D35" w:rsidRDefault="005015F5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Goran Dijanović          </w:t>
      </w:r>
    </w:p>
    <w:sectPr w:rsidR="008B4D35"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5F5" w:rsidRDefault="005015F5">
      <w:r>
        <w:separator/>
      </w:r>
    </w:p>
  </w:endnote>
  <w:endnote w:type="continuationSeparator" w:id="0">
    <w:p w:rsidR="005015F5" w:rsidRDefault="0050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38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35" w:rsidRDefault="005015F5">
    <w:pPr>
      <w:pStyle w:val="Podnoje"/>
      <w:framePr w:dropCap="none" w:lines="1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B4D35" w:rsidRDefault="008B4D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35" w:rsidRDefault="008B4D35">
    <w:pPr>
      <w:pStyle w:val="Podnoje"/>
      <w:framePr w:dropCap="none" w:lines="1" w:wrap="around" w:vAnchor="text" w:hAnchor="margin" w:xAlign="center" w:y="1"/>
      <w:rPr>
        <w:rStyle w:val="Brojstranice"/>
      </w:rPr>
    </w:pPr>
  </w:p>
  <w:p w:rsidR="008B4D35" w:rsidRDefault="008B4D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5F5" w:rsidRDefault="005015F5">
      <w:r>
        <w:separator/>
      </w:r>
    </w:p>
  </w:footnote>
  <w:footnote w:type="continuationSeparator" w:id="0">
    <w:p w:rsidR="005015F5" w:rsidRDefault="0050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35" w:rsidRDefault="000A2EF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.75pt;height:91.5pt;visibility:visible;mso-position-horizontal-relative:margin;mso-position-vertical-relative:margin" wrapcoords="0 21600 21600 21600 21600 0 0 0">
          <v:imagedata r:id="rId1" o:title="" cropbottom="6355f" cropleft="6542f" cropright="459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F50"/>
    <w:multiLevelType w:val="multilevel"/>
    <w:tmpl w:val="032613A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68726A"/>
    <w:multiLevelType w:val="multilevel"/>
    <w:tmpl w:val="C1C42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4E50"/>
    <w:multiLevelType w:val="multilevel"/>
    <w:tmpl w:val="882A26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3F3C"/>
    <w:multiLevelType w:val="multilevel"/>
    <w:tmpl w:val="175EE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35"/>
    <w:rsid w:val="000A2EF1"/>
    <w:rsid w:val="005015F5"/>
    <w:rsid w:val="008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909CE1-3A4C-48F7-8D68-89533764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rPr>
      <w:i/>
      <w:iCs/>
      <w:u w:val="single"/>
      <w:lang w:val="hr-HR" w:eastAsia="en-US" w:bidi="ar-SA"/>
    </w:rPr>
  </w:style>
  <w:style w:type="character" w:customStyle="1" w:styleId="Naslov2Char">
    <w:name w:val="Naslov 2 Char"/>
    <w:basedOn w:val="Zadanifontodlomka"/>
    <w:link w:val="Naslov2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basedOn w:val="Zadanifontodlomka"/>
    <w:link w:val="Naslov3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basedOn w:val="Zadanifontodlomka"/>
    <w:link w:val="Naslov4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basedOn w:val="Zadanifontodlomka"/>
    <w:link w:val="Naslov5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basedOn w:val="Zadanifontodlomka"/>
    <w:link w:val="Naslov6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basedOn w:val="Zadanifontodlomka"/>
    <w:link w:val="Naslov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basedOn w:val="Zadanifontodlomka"/>
    <w:link w:val="Naslov8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basedOn w:val="Zadanifontodlomka"/>
    <w:link w:val="Naslov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pPr>
      <w:ind w:firstLine="720"/>
    </w:pPr>
    <w:rPr>
      <w:sz w:val="20"/>
    </w:rPr>
  </w:style>
  <w:style w:type="character" w:customStyle="1" w:styleId="UvuenotijelotekstaChar">
    <w:name w:val="Uvučeno tijelo teksta Char"/>
    <w:basedOn w:val="Zadanifontodlomka"/>
    <w:rPr>
      <w:lang w:val="hr-HR" w:eastAsia="en-US" w:bidi="ar-SA"/>
    </w:rPr>
  </w:style>
  <w:style w:type="paragraph" w:customStyle="1" w:styleId="xl52">
    <w:name w:val="xl52"/>
    <w:basedOn w:val="Normal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basedOn w:val="Zadanifontodlomka"/>
    <w:rPr>
      <w:rFonts w:eastAsia="Calibri"/>
      <w:sz w:val="24"/>
      <w:lang w:val="hr-HR" w:eastAsia="en-US" w:bidi="ar-SA"/>
    </w:rPr>
  </w:style>
  <w:style w:type="character" w:styleId="Brojstranice">
    <w:name w:val="page number"/>
    <w:basedOn w:val="Zadanifontodlomka"/>
    <w:rPr>
      <w:rFonts w:cs="Times New Roman"/>
    </w:rPr>
  </w:style>
  <w:style w:type="paragraph" w:styleId="StandardWeb">
    <w:name w:val="Normal (Web)"/>
    <w:basedOn w:val="Normal"/>
    <w:uiPriority w:val="99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basedOn w:val="Zadanifontodlomka"/>
    <w:uiPriority w:val="99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customStyle="1" w:styleId="Heading1Char2">
    <w:name w:val="Heading 1 Char2"/>
    <w:basedOn w:val="Zadanifontodlomka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basedOn w:val="Zadanifontodlomka"/>
    <w:rPr>
      <w:i/>
      <w:iCs/>
      <w:u w:val="single"/>
      <w:lang w:val="hr-HR" w:eastAsia="en-US" w:bidi="ar-SA"/>
    </w:rPr>
  </w:style>
  <w:style w:type="character" w:customStyle="1" w:styleId="CharChar20">
    <w:name w:val="Char Char20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basedOn w:val="Zadanifontodlomka"/>
    <w:rPr>
      <w:sz w:val="24"/>
      <w:lang w:val="hr-HR" w:eastAsia="en-US" w:bidi="ar-SA"/>
    </w:rPr>
  </w:style>
  <w:style w:type="character" w:customStyle="1" w:styleId="CharChar10">
    <w:name w:val="Char Char10"/>
    <w:basedOn w:val="Zadanifontodlomka"/>
    <w:rPr>
      <w:sz w:val="24"/>
      <w:lang w:val="hr-HR" w:eastAsia="en-US" w:bidi="ar-SA"/>
    </w:rPr>
  </w:style>
  <w:style w:type="character" w:customStyle="1" w:styleId="CharChar17">
    <w:name w:val="Char Char17"/>
    <w:basedOn w:val="Zadanifontodlomka"/>
    <w:rPr>
      <w:i/>
      <w:iCs/>
      <w:u w:val="single"/>
      <w:lang w:val="hr-HR" w:eastAsia="en-US" w:bidi="ar-SA"/>
    </w:rPr>
  </w:style>
  <w:style w:type="character" w:customStyle="1" w:styleId="CharChar11">
    <w:name w:val="Char Char11"/>
    <w:basedOn w:val="Zadanifontodlomk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basedOn w:val="Zadanifontodlomka"/>
    <w:rPr>
      <w:sz w:val="24"/>
      <w:lang w:val="hr-HR" w:eastAsia="en-US" w:bidi="ar-SA"/>
    </w:rPr>
  </w:style>
  <w:style w:type="character" w:customStyle="1" w:styleId="CharChar5">
    <w:name w:val="Char Char5"/>
    <w:basedOn w:val="Zadanifontodlomka"/>
    <w:rPr>
      <w:sz w:val="24"/>
      <w:lang w:val="hr-HR" w:eastAsia="en-US" w:bidi="ar-SA"/>
    </w:rPr>
  </w:style>
  <w:style w:type="character" w:customStyle="1" w:styleId="Heading1Char">
    <w:name w:val="Heading 1 Char"/>
    <w:basedOn w:val="Zadanifontodlomk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basedOn w:val="Zadanifontodlomka"/>
    <w:rPr>
      <w:rFonts w:ascii="Arial" w:hAnsi="Arial" w:cs="Arial"/>
      <w:b/>
      <w:bCs/>
      <w:sz w:val="20"/>
      <w:szCs w:val="20"/>
      <w:lang w:eastAsia="hr-HR"/>
    </w:rPr>
  </w:style>
  <w:style w:type="character" w:customStyle="1" w:styleId="BodyTextIndentChar">
    <w:name w:val="Body Text Indent Char"/>
    <w:basedOn w:val="Zadanifontodlomka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Pr>
      <w:rFonts w:eastAsia="Calibri"/>
      <w:i/>
      <w:lang w:eastAsia="hr-HR"/>
    </w:rPr>
  </w:style>
  <w:style w:type="character" w:customStyle="1" w:styleId="Tijeloteksta2Char">
    <w:name w:val="Tijelo teksta 2 Char"/>
    <w:basedOn w:val="Zadanifontodlomka"/>
    <w:link w:val="Tijeloteksta2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basedOn w:val="Zadanifontodlomka"/>
    <w:link w:val="Tijeloteksta-uvlaka2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basedOn w:val="Normal"/>
    <w:link w:val="Tijeloteksta-uvlaka3Char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basedOn w:val="Zadanifontodlomka"/>
    <w:link w:val="Tijeloteksta-uvlaka3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semiHidden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basedOn w:val="Zadanifontodlomka"/>
    <w:link w:val="Naslov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basedOn w:val="Zadanifontodlomka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basedOn w:val="Zadanifontodlomka"/>
    <w:uiPriority w:val="99"/>
    <w:rPr>
      <w:rFonts w:cs="Times New Roman"/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basedOn w:val="Zadanifontodlomka"/>
    <w:qFormat/>
    <w:rPr>
      <w:rFonts w:cs="Times New Roman"/>
      <w:b/>
      <w:bCs/>
    </w:rPr>
  </w:style>
  <w:style w:type="character" w:customStyle="1" w:styleId="uvlaka2CharChar">
    <w:name w:val="uvlaka 2 Char Char"/>
    <w:basedOn w:val="Zadanifontodlomka"/>
    <w:rPr>
      <w:lang w:val="pl-PL" w:eastAsia="en-US"/>
    </w:rPr>
  </w:style>
  <w:style w:type="character" w:customStyle="1" w:styleId="CharChar170">
    <w:name w:val="Char Char17"/>
    <w:basedOn w:val="Zadanifontodlomka"/>
    <w:rPr>
      <w:i/>
      <w:u w:val="single"/>
      <w:lang w:val="hr-HR" w:eastAsia="en-US"/>
    </w:rPr>
  </w:style>
  <w:style w:type="character" w:customStyle="1" w:styleId="CharChar110">
    <w:name w:val="Char Char11"/>
    <w:basedOn w:val="Zadanifontodlomka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basedOn w:val="Zadanifontodlomka"/>
    <w:rPr>
      <w:lang w:val="hr-HR" w:eastAsia="en-US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customStyle="1" w:styleId="CharChar60">
    <w:name w:val="Char Char6"/>
    <w:basedOn w:val="Zadanifontodlomka"/>
    <w:rPr>
      <w:sz w:val="24"/>
      <w:lang w:val="hr-HR" w:eastAsia="en-US"/>
    </w:rPr>
  </w:style>
  <w:style w:type="character" w:customStyle="1" w:styleId="CharChar50">
    <w:name w:val="Char Char5"/>
    <w:basedOn w:val="Zadanifontodlomka"/>
    <w:rPr>
      <w:sz w:val="24"/>
      <w:lang w:val="hr-HR" w:eastAsia="en-US"/>
    </w:rPr>
  </w:style>
  <w:style w:type="character" w:customStyle="1" w:styleId="CharChar18">
    <w:name w:val="Char Char18"/>
    <w:basedOn w:val="Zadanifontodlomka"/>
    <w:rPr>
      <w:i/>
      <w:u w:val="single"/>
      <w:lang w:val="hr-HR" w:eastAsia="en-US"/>
    </w:rPr>
  </w:style>
  <w:style w:type="character" w:customStyle="1" w:styleId="CharChar12">
    <w:name w:val="Char Char12"/>
    <w:basedOn w:val="Zadanifontodlomka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basedOn w:val="Zadanifontodlomka"/>
    <w:rPr>
      <w:sz w:val="24"/>
      <w:lang w:val="hr-HR" w:eastAsia="en-US"/>
    </w:rPr>
  </w:style>
  <w:style w:type="character" w:customStyle="1" w:styleId="Heading1Char1">
    <w:name w:val="Heading 1 Char1"/>
    <w:basedOn w:val="Zadanifontodlomka"/>
    <w:rPr>
      <w:i/>
      <w:u w:val="single"/>
      <w:lang w:val="hr-HR" w:eastAsia="en-US"/>
    </w:rPr>
  </w:style>
  <w:style w:type="paragraph" w:customStyle="1" w:styleId="Tekstkomentara1">
    <w:name w:val="Tekst komentara1"/>
    <w:basedOn w:val="Normal"/>
    <w:link w:val="TekstkomentaraChar"/>
    <w:rPr>
      <w:rFonts w:eastAsia="Calibri"/>
      <w:sz w:val="20"/>
    </w:rPr>
  </w:style>
  <w:style w:type="character" w:customStyle="1" w:styleId="TekstkomentaraChar">
    <w:name w:val="Tekst komentara Char"/>
    <w:basedOn w:val="Zadanifontodlomka"/>
    <w:link w:val="Tekstkomentara1"/>
    <w:rPr>
      <w:rFonts w:eastAsia="Calibri"/>
      <w:lang w:val="hr-HR" w:eastAsia="en-US" w:bidi="ar-SA"/>
    </w:rPr>
  </w:style>
  <w:style w:type="character" w:customStyle="1" w:styleId="CharChar15">
    <w:name w:val="Char Char15"/>
    <w:basedOn w:val="Zadanifontodlomka"/>
    <w:rPr>
      <w:b/>
      <w:bCs/>
      <w:lang w:val="pl-PL" w:eastAsia="en-US" w:bidi="ar-SA"/>
    </w:rPr>
  </w:style>
  <w:style w:type="character" w:customStyle="1" w:styleId="CharChar14">
    <w:name w:val="Char Char14"/>
    <w:basedOn w:val="Zadanifontodlomka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basedOn w:val="Zadanifontodlomka"/>
    <w:rPr>
      <w:b/>
      <w:bCs/>
      <w:sz w:val="16"/>
      <w:lang w:val="hr-HR" w:eastAsia="en-US" w:bidi="ar-SA"/>
    </w:rPr>
  </w:style>
  <w:style w:type="character" w:customStyle="1" w:styleId="CharChar9">
    <w:name w:val="Char Char9"/>
    <w:basedOn w:val="Zadanifontodlomk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basedOn w:val="Zadanifontodlomka"/>
    <w:rPr>
      <w:lang w:val="hr-HR" w:eastAsia="en-US" w:bidi="ar-SA"/>
    </w:rPr>
  </w:style>
  <w:style w:type="character" w:customStyle="1" w:styleId="CharChar70">
    <w:name w:val="Char Char7"/>
    <w:basedOn w:val="Zadanifontodlomka"/>
    <w:rPr>
      <w:i/>
      <w:sz w:val="24"/>
      <w:lang w:val="hr-HR" w:eastAsia="hr-HR" w:bidi="ar-SA"/>
    </w:rPr>
  </w:style>
  <w:style w:type="character" w:customStyle="1" w:styleId="CharChar4">
    <w:name w:val="Char Char4"/>
    <w:basedOn w:val="Zadanifontodlomka"/>
    <w:rPr>
      <w:sz w:val="24"/>
      <w:lang w:val="hr-HR" w:eastAsia="en-US" w:bidi="ar-SA"/>
    </w:rPr>
  </w:style>
  <w:style w:type="character" w:customStyle="1" w:styleId="uvlaka2CharChar1">
    <w:name w:val="uvlaka 2 Char Char1"/>
    <w:basedOn w:val="Zadanifontodlomka"/>
    <w:rPr>
      <w:lang w:val="pl-PL" w:eastAsia="en-US" w:bidi="ar-SA"/>
    </w:rPr>
  </w:style>
  <w:style w:type="character" w:customStyle="1" w:styleId="CharChar2">
    <w:name w:val="Char Char2"/>
    <w:basedOn w:val="Zadanifontodlomka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semiHidden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basedOn w:val="Zadanifontodlomka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basedOn w:val="Zadanifontodlomka"/>
    <w:rPr>
      <w:lang w:val="pl-PL" w:eastAsia="en-US" w:bidi="ar-SA"/>
    </w:rPr>
  </w:style>
  <w:style w:type="paragraph" w:customStyle="1" w:styleId="Bezproreda1">
    <w:name w:val="Bez proreda1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_0"/>
    <w:basedOn w:val="Normal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A4">
    <w:name w:val="A4"/>
    <w:basedOn w:val="Zadanifontodlomka"/>
    <w:uiPriority w:val="99"/>
    <w:rPr>
      <w:color w:val="000000"/>
      <w:sz w:val="26"/>
      <w:szCs w:val="26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404040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szCs w:val="24"/>
      <w:lang w:eastAsia="hr-HR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lang w:eastAsia="hr-H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lang w:eastAsia="hr-H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84">
    <w:name w:val="xl84"/>
    <w:basedOn w:val="Normal"/>
    <w:pPr>
      <w:spacing w:before="100" w:beforeAutospacing="1" w:after="100" w:afterAutospacing="1"/>
      <w:jc w:val="left"/>
    </w:pPr>
    <w:rPr>
      <w:rFonts w:ascii="Calibri" w:hAnsi="Calibri" w:cs="Calibri"/>
      <w:sz w:val="20"/>
      <w:lang w:eastAsia="hr-H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20"/>
      <w:lang w:eastAsia="hr-H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hAnsi="Calibri" w:cs="Calibri"/>
      <w:sz w:val="20"/>
      <w:lang w:eastAsia="hr-H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hAnsi="Calibri" w:cs="Calibri"/>
      <w:sz w:val="20"/>
      <w:lang w:eastAsia="hr-H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Calibri" w:hAnsi="Calibri" w:cs="Calibri"/>
      <w:sz w:val="20"/>
      <w:lang w:eastAsia="hr-H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98">
    <w:name w:val="xl98"/>
    <w:basedOn w:val="Normal"/>
    <w:pPr>
      <w:spacing w:before="100" w:beforeAutospacing="1" w:after="100" w:afterAutospacing="1"/>
      <w:jc w:val="center"/>
    </w:pPr>
    <w:rPr>
      <w:rFonts w:ascii="Calibri" w:hAnsi="Calibri" w:cs="Calibri"/>
      <w:sz w:val="20"/>
      <w:lang w:eastAsia="hr-HR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hr-HR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03">
    <w:name w:val="xl103"/>
    <w:basedOn w:val="Normal"/>
    <w:pPr>
      <w:shd w:val="clear" w:color="000000" w:fill="BFBFBF"/>
      <w:spacing w:before="100" w:beforeAutospacing="1" w:after="100" w:afterAutospacing="1"/>
      <w:jc w:val="left"/>
    </w:pPr>
    <w:rPr>
      <w:rFonts w:ascii="Calibri" w:hAnsi="Calibri" w:cs="Calibri"/>
      <w:sz w:val="20"/>
      <w:lang w:eastAsia="hr-HR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left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lang w:eastAsia="hr-HR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lang w:eastAsia="hr-HR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sz w:val="20"/>
      <w:lang w:eastAsia="hr-HR"/>
    </w:rPr>
  </w:style>
  <w:style w:type="paragraph" w:customStyle="1" w:styleId="box455870-000016">
    <w:name w:val="box455870-000016"/>
    <w:basedOn w:val="Normal"/>
    <w:pPr>
      <w:shd w:val="clear" w:color="auto" w:fill="FFFFFF"/>
      <w:spacing w:before="100" w:beforeAutospacing="1"/>
      <w:jc w:val="center"/>
      <w:textAlignment w:val="baseline"/>
    </w:pPr>
    <w:rPr>
      <w:szCs w:val="24"/>
      <w:lang w:eastAsia="hr-HR"/>
    </w:rPr>
  </w:style>
  <w:style w:type="character" w:customStyle="1" w:styleId="zadanifontodlomka-000009">
    <w:name w:val="zadanifontodlomka-000009"/>
    <w:basedOn w:val="Zadanifontodlomka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customStyle="1" w:styleId="000012">
    <w:name w:val="000012"/>
    <w:basedOn w:val="Normal"/>
    <w:pPr>
      <w:shd w:val="clear" w:color="auto" w:fill="FFFFFF"/>
      <w:spacing w:before="100" w:beforeAutospacing="1"/>
      <w:textAlignment w:val="baseline"/>
    </w:pPr>
    <w:rPr>
      <w:szCs w:val="24"/>
      <w:lang w:eastAsia="hr-HR"/>
    </w:rPr>
  </w:style>
  <w:style w:type="character" w:customStyle="1" w:styleId="zadanifontodlomka-000006">
    <w:name w:val="zadanifontodlomka-000006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13">
    <w:name w:val="000013"/>
    <w:basedOn w:val="Zadanifontodlomka"/>
    <w:rPr>
      <w:rFonts w:ascii="Sylfaen" w:hAnsi="Sylfae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2" ma:contentTypeDescription="Create a new document." ma:contentTypeScope="" ma:versionID="a8e356d5be61d062a7ec160e1e9d595a">
  <xsd:schema xmlns:xsd="http://www.w3.org/2001/XMLSchema" xmlns:xs="http://www.w3.org/2001/XMLSchema" xmlns:p="http://schemas.microsoft.com/office/2006/metadata/properties" xmlns:ns3="1699d15d-b70a-4276-befd-f6b815f285a8" xmlns:ns4="b7a601e5-138e-4ffe-a9c8-66aa9620e8c8" targetNamespace="http://schemas.microsoft.com/office/2006/metadata/properties" ma:root="true" ma:fieldsID="053caa255ed886899e1fc7520218cab7" ns3:_="" ns4:_="">
    <xsd:import namespace="1699d15d-b70a-4276-befd-f6b815f285a8"/>
    <xsd:import namespace="b7a601e5-138e-4ffe-a9c8-66aa9620e8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BACE-A404-40EE-AE8E-A851E7468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A9D00-7DC9-4821-BB52-33C0A9CFD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9d15d-b70a-4276-befd-f6b815f285a8"/>
    <ds:schemaRef ds:uri="b7a601e5-138e-4ffe-a9c8-66aa9620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20C5B-4673-4D85-98A1-B5F035C95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33F31-6F33-4CA9-A541-F1E2C192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10051</Words>
  <Characters>57293</Characters>
  <Application>Microsoft Office Word</Application>
  <DocSecurity>0</DocSecurity>
  <Lines>477</Lines>
  <Paragraphs>134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/>
  <LinksUpToDate>false</LinksUpToDate>
  <CharactersWithSpaces>67210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subject/>
  <dc:creator>mbubalo</dc:creator>
  <cp:keywords/>
  <dc:description/>
  <cp:lastModifiedBy>Tea Horvat</cp:lastModifiedBy>
  <cp:revision>2</cp:revision>
  <cp:lastPrinted>2023-07-24T06:10:00Z</cp:lastPrinted>
  <dcterms:created xsi:type="dcterms:W3CDTF">2024-01-23T13:25:00Z</dcterms:created>
  <dcterms:modified xsi:type="dcterms:W3CDTF">2024-01-23T13:25:00Z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