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DA62C">
      <w:pPr>
        <w:spacing w:line="256"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noProof/>
        </w:rPr>
        <w:t xml:space="preserve">              </w:t>
      </w:r>
      <w:r>
        <w:rPr>
          <w:rFonts w:ascii="Times New Roman" w:hAnsi="Times New Roman" w:cs="Times New Roman"/>
          <w:b/>
          <w:noProof/>
        </w:rPr>
        <w:drawing>
          <wp:inline>
            <wp:extent cx="476250" cy="561975"/>
            <wp:effectExtent xmlns:wp="http://schemas.openxmlformats.org/drawingml/2006/wordprocessingDrawing" l="0" t="0" r="0" b="9525"/>
            <wp:docPr id="1" descr="GRB"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pic:spPr>
                </pic:pic>
              </a:graphicData>
            </a:graphic>
          </wp:inline>
        </w:drawing>
      </w:r>
      <w:r>
        <w:rPr>
          <w:rFonts w:ascii="Times New Roman" w:hAnsi="Times New Roman" w:cs="Times New Roman"/>
          <w:b/>
        </w:rPr>
        <w:t xml:space="preserve">                                                                                                               </w:t>
      </w:r>
      <w:r>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after="160" w:line="256" w:lineRule="auto"/>
              <w:rPr>
                <w:rFonts w:ascii="Times New Roman" w:hAnsi="Times New Roman" w:cs="Times New Roman"/>
                <w:b/>
              </w:rPr>
            </w:pPr>
            <w:bookmarkStart w:id="2" w:name="_Hlk128748807"/>
            <w:r>
              <w:rPr>
                <w:rFonts w:ascii="Times New Roman" w:hAnsi="Times New Roman" w:eastAsia="Times New Roman" w:cs="Times New Roman"/>
                <w:b/>
                <w:bCs/>
              </w:rPr>
              <w:t xml:space="preserve">REPUBLIKA HRVATSKA</w:t>
            </w:r>
            <w:r>
              <w:rPr>
                <w:rFonts w:ascii="Times New Roman" w:hAnsi="Times New Roman" w:cs="Times New Roman"/>
                <w:b/>
              </w:rPr>
              <w:t xml:space="preserve">                                                                 ŠKOLA PRIMIJENJENE UMJETNOSTI I DIZAJNA OSIJEK                                                                                                </w:t>
            </w:r>
            <w:r>
              <w:rPr>
                <w:rFonts w:ascii="Times New Roman" w:hAnsi="Times New Roman" w:cs="Times New Roman"/>
              </w:rPr>
              <w:t xml:space="preserve">Drinska ulica 12, 31000 Osijek                                                                                           KLASA: </w:t>
            </w:r>
            <w:r>
              <w:rPr>
                <w:rFonts w:ascii="Times New Roman" w:hAnsi="Times New Roman" w:cs="Times New Roman"/>
                <w:noProof/>
                <w:sz w:val="28"/>
              </w:rPr>
              <w:t xml:space="preserve">400-02/23-01/14</w:t>
            </w:r>
            <w:r>
              <w:rPr>
                <w:rFonts w:ascii="Times New Roman" w:hAnsi="Times New Roman" w:cs="Times New Roman"/>
              </w:rPr>
              <w:t xml:space="preserve">                                                                                                                                        URBROJ: </w:t>
            </w:r>
            <w:r>
              <w:rPr>
                <w:rFonts w:ascii="Times New Roman" w:hAnsi="Times New Roman" w:cs="Times New Roman"/>
                <w:noProof/>
              </w:rPr>
              <w:t xml:space="preserve">2158-46-23-1</w:t>
            </w:r>
            <w:r>
              <w:rPr>
                <w:rFonts w:ascii="Times New Roman" w:hAnsi="Times New Roman" w:cs="Times New Roman"/>
              </w:rPr>
              <w:t xml:space="preserve">                                                                                     </w:t>
            </w:r>
            <w:r>
              <w:rPr>
                <w:rFonts w:ascii="Times New Roman" w:hAnsi="Times New Roman" w:cs="Times New Roman"/>
              </w:rPr>
              <w:t xml:space="preserve">                      Osijek, 30</w:t>
            </w:r>
            <w:r>
              <w:rPr>
                <w:rFonts w:ascii="Times New Roman" w:hAnsi="Times New Roman" w:cs="Times New Roman"/>
              </w:rPr>
              <w:t xml:space="preserve">. </w:t>
            </w:r>
            <w:r>
              <w:rPr>
                <w:rFonts w:ascii="Times New Roman" w:hAnsi="Times New Roman" w:cs="Times New Roman"/>
              </w:rPr>
              <w:t xml:space="preserve">listopad</w:t>
            </w:r>
            <w:bookmarkStart w:id="3" w:name="_GoBack"/>
            <w:bookmarkEnd w:id="3"/>
            <w:r>
              <w:rPr>
                <w:rFonts w:ascii="Times New Roman" w:hAnsi="Times New Roman" w:cs="Times New Roman"/>
              </w:rPr>
              <w:t xml:space="preserve">a 2023. </w:t>
            </w:r>
          </w:p>
          <w:p>
            <w:pPr>
              <w:spacing w:after="160" w:line="256" w:lineRule="auto"/>
              <w:rPr>
                <w:rFonts w:ascii="Times New Roman" w:hAnsi="Times New Roman" w:cs="Times New Roman"/>
              </w:rPr>
            </w:pPr>
          </w:p>
          <w:p>
            <w:pPr>
              <w:spacing w:after="160" w:line="256" w:lineRule="auto"/>
              <w:rPr>
                <w:rFonts w:ascii="Times New Roman" w:hAnsi="Times New Roman" w:cs="Times New Roman"/>
              </w:rPr>
            </w:pPr>
          </w:p>
        </w:tc>
        <w:tc>
          <w:tcPr>
            <w:tcW w:type="dxa" w:w="2693"/>
            <w:tcBorders/>
            <w:hideMark/>
          </w:tcPr>
          <w:p>
            <w:pPr>
              <w:spacing w:after="160" w:line="256" w:lineRule="auto"/>
              <w:jc w:val="right"/>
              <w:rPr>
                <w:rFonts w:ascii="Times New Roman" w:hAnsi="Times New Roman" w:cs="Times New Roman"/>
              </w:rPr>
            </w:pPr>
            <w:r>
              <w:rPr/>
              <w:drawing>
                <wp:inline>
                  <wp:extent cx="933580" cy="933580"/>
                  <wp:docPr id="2"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bookmarkEnd w:id="2"/>
      </w:tr>
    </w:tbl>
    <w:p w14:paraId="79D5E0F6">
      <w:pPr>
        <w:spacing/>
        <w:rPr>
          <w:rFonts w:asciiTheme="majorHAnsi" w:hAnsiTheme="majorHAnsi" w:cstheme="majorHAnsi"/>
        </w:rPr>
      </w:pPr>
    </w:p>
    <w:p w14:paraId="48633A92">
      <w:pPr>
        <w:spacing/>
        <w:rPr>
          <w:rFonts w:asciiTheme="majorHAnsi" w:hAnsiTheme="majorHAnsi" w:cstheme="majorHAnsi"/>
        </w:rPr>
      </w:pPr>
    </w:p>
    <w:p w14:paraId="21CABF3E">
      <w:pPr>
        <w:spacing/>
        <w:rPr>
          <w:rFonts w:asciiTheme="majorHAnsi" w:hAnsiTheme="majorHAnsi" w:cstheme="majorHAnsi"/>
        </w:rPr>
      </w:pPr>
    </w:p>
    <w:p w14:paraId="7A177CF2">
      <w:pPr>
        <w:spacing/>
        <w:rPr>
          <w:rFonts w:asciiTheme="majorHAnsi" w:hAnsiTheme="majorHAnsi" w:cstheme="majorHAnsi"/>
        </w:rPr>
      </w:pPr>
    </w:p>
    <w:p w14:paraId="72213E6E">
      <w:pPr>
        <w:spacing/>
        <w:rPr>
          <w:rFonts w:asciiTheme="majorHAnsi" w:hAnsiTheme="majorHAnsi" w:cstheme="majorHAnsi"/>
        </w:rPr>
      </w:pPr>
    </w:p>
    <w:p w14:paraId="0064FF2C">
      <w:pPr>
        <w:spacing/>
        <w:rPr>
          <w:rFonts w:asciiTheme="majorHAnsi" w:hAnsiTheme="majorHAnsi" w:cstheme="majorHAnsi"/>
        </w:rPr>
      </w:pPr>
    </w:p>
    <w:p w14:paraId="3D9DDC2E">
      <w:pPr>
        <w:spacing/>
        <w:rPr>
          <w:rFonts w:asciiTheme="majorHAnsi" w:hAnsiTheme="majorHAnsi" w:cstheme="majorHAnsi"/>
        </w:rPr>
      </w:pPr>
    </w:p>
    <w:p w14:paraId="6C149618">
      <w:pPr>
        <w:spacing/>
        <w:rPr>
          <w:rFonts w:asciiTheme="majorHAnsi" w:hAnsiTheme="majorHAnsi" w:cstheme="majorHAnsi"/>
        </w:rPr>
      </w:pPr>
    </w:p>
    <w:p w14:paraId="213C0DEB">
      <w:pPr>
        <w:spacing w:after="0" w:line="240" w:lineRule="auto"/>
        <w:jc w:val="center"/>
        <w:rPr>
          <w:rFonts w:asciiTheme="majorHAnsi" w:hAnsiTheme="majorHAnsi" w:eastAsia="Times New Roman" w:cstheme="majorHAnsi"/>
          <w:b/>
          <w:sz w:val="28"/>
          <w:szCs w:val="28"/>
        </w:rPr>
      </w:pPr>
      <w:r>
        <w:rPr>
          <w:rFonts w:asciiTheme="majorHAnsi" w:hAnsiTheme="majorHAnsi" w:eastAsia="Times New Roman" w:cstheme="majorHAnsi"/>
          <w:b/>
          <w:sz w:val="28"/>
          <w:szCs w:val="28"/>
        </w:rPr>
        <w:t xml:space="preserve">OBRAZLOŽENJE </w:t>
      </w:r>
      <w:r>
        <w:rPr>
          <w:rFonts w:asciiTheme="majorHAnsi" w:hAnsiTheme="majorHAnsi" w:eastAsia="Times New Roman" w:cstheme="majorHAnsi"/>
          <w:b/>
          <w:sz w:val="28"/>
          <w:szCs w:val="28"/>
        </w:rPr>
        <w:t xml:space="preserve">II</w:t>
      </w:r>
      <w:r>
        <w:rPr>
          <w:rFonts w:asciiTheme="majorHAnsi" w:hAnsiTheme="majorHAnsi" w:eastAsia="Times New Roman" w:cstheme="majorHAnsi"/>
          <w:b/>
          <w:sz w:val="28"/>
          <w:szCs w:val="28"/>
        </w:rPr>
        <w:t xml:space="preserve">. REBALANSA FINANCIJSKOG PLANA</w:t>
      </w:r>
    </w:p>
    <w:p w14:paraId="17EEA234">
      <w:pPr>
        <w:spacing w:after="0" w:line="240" w:lineRule="auto"/>
        <w:jc w:val="center"/>
        <w:rPr>
          <w:rFonts w:asciiTheme="majorHAnsi" w:hAnsiTheme="majorHAnsi" w:eastAsia="Times New Roman" w:cstheme="majorHAnsi"/>
          <w:b/>
          <w:sz w:val="28"/>
          <w:szCs w:val="28"/>
        </w:rPr>
      </w:pPr>
      <w:r>
        <w:rPr>
          <w:rFonts w:asciiTheme="majorHAnsi" w:hAnsiTheme="majorHAnsi" w:eastAsia="Times New Roman" w:cstheme="majorHAnsi"/>
          <w:b/>
          <w:sz w:val="28"/>
          <w:szCs w:val="28"/>
        </w:rPr>
        <w:t xml:space="preserve">ZA 2023. GODINU</w:t>
      </w:r>
    </w:p>
    <w:p w14:paraId="5D3C89AC">
      <w:pPr>
        <w:spacing/>
        <w:rPr>
          <w:rFonts w:asciiTheme="majorHAnsi" w:hAnsiTheme="majorHAnsi" w:cstheme="majorHAnsi"/>
        </w:rPr>
      </w:pPr>
    </w:p>
    <w:p w14:paraId="767A7BF3">
      <w:pPr>
        <w:spacing/>
        <w:rPr>
          <w:rFonts w:asciiTheme="majorHAnsi" w:hAnsiTheme="majorHAnsi" w:cstheme="majorHAnsi"/>
        </w:rPr>
      </w:pPr>
    </w:p>
    <w:p w14:paraId="53F20BC4">
      <w:pPr>
        <w:spacing/>
        <w:rPr>
          <w:rFonts w:asciiTheme="majorHAnsi" w:hAnsiTheme="majorHAnsi" w:cstheme="majorHAnsi"/>
        </w:rPr>
      </w:pPr>
    </w:p>
    <w:p w14:paraId="06A37DE6">
      <w:pPr>
        <w:spacing/>
        <w:ind w:left="851"/>
        <w:rPr>
          <w:rFonts w:asciiTheme="majorHAnsi" w:hAnsiTheme="majorHAnsi" w:cstheme="majorHAnsi"/>
        </w:rPr>
      </w:pPr>
    </w:p>
    <w:p w14:paraId="4921A497">
      <w:pPr>
        <w:spacing/>
        <w:rPr>
          <w:rFonts w:asciiTheme="majorHAnsi" w:hAnsiTheme="majorHAnsi" w:cstheme="majorHAnsi"/>
        </w:rPr>
      </w:pPr>
    </w:p>
    <w:p w14:paraId="2AB40C00">
      <w:pPr>
        <w:spacing/>
        <w:rPr>
          <w:rFonts w:asciiTheme="majorHAnsi" w:hAnsiTheme="majorHAnsi" w:cstheme="majorHAnsi"/>
        </w:rPr>
      </w:pPr>
    </w:p>
    <w:p w14:paraId="583D18FE">
      <w:pPr>
        <w:spacing/>
        <w:rPr>
          <w:rFonts w:asciiTheme="majorHAnsi" w:hAnsiTheme="majorHAnsi" w:cstheme="majorHAnsi"/>
        </w:rPr>
      </w:pPr>
    </w:p>
    <w:p w14:paraId="3AF49C92">
      <w:pPr>
        <w:spacing/>
        <w:rPr>
          <w:rFonts w:asciiTheme="majorHAnsi" w:hAnsiTheme="majorHAnsi" w:cstheme="majorHAnsi"/>
        </w:rPr>
      </w:pPr>
    </w:p>
    <w:p w14:paraId="55274DC7">
      <w:pPr>
        <w:spacing/>
        <w:rPr>
          <w:rFonts w:asciiTheme="majorHAnsi" w:hAnsiTheme="majorHAnsi" w:cstheme="majorHAnsi"/>
        </w:rPr>
      </w:pP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 xml:space="preserve">Predsjednik školskog odbora:</w:t>
      </w:r>
    </w:p>
    <w:p w14:paraId="5FDFA2BC">
      <w:pPr>
        <w:spacing/>
        <w:rPr>
          <w:rFonts w:asciiTheme="majorHAnsi" w:hAnsiTheme="majorHAnsi" w:cstheme="majorHAnsi"/>
        </w:rPr>
      </w:pP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 xml:space="preserve">              </w:t>
      </w:r>
      <w:r>
        <w:rPr>
          <w:rFonts w:asciiTheme="majorHAnsi" w:hAnsiTheme="majorHAnsi" w:cstheme="majorHAnsi"/>
        </w:rPr>
        <w:t xml:space="preserve">Goran Dijanović</w:t>
      </w:r>
    </w:p>
    <w:p w14:paraId="2172DF2A">
      <w:pPr>
        <w:spacing/>
        <w:rPr>
          <w:rFonts w:asciiTheme="majorHAnsi" w:hAnsiTheme="majorHAnsi" w:cstheme="majorHAnsi"/>
        </w:rPr>
      </w:pPr>
    </w:p>
    <w:p w14:paraId="4EE81211">
      <w:pPr>
        <w:spacing/>
        <w:rPr>
          <w:rFonts w:asciiTheme="majorHAnsi" w:hAnsiTheme="majorHAnsi" w:cstheme="majorHAnsi"/>
        </w:rPr>
      </w:pPr>
    </w:p>
    <w:p w14:paraId="3809FEC7">
      <w:pPr>
        <w:spacing/>
        <w:rPr>
          <w:rFonts w:asciiTheme="majorHAnsi" w:hAnsiTheme="majorHAnsi" w:cstheme="majorHAnsi"/>
        </w:rPr>
      </w:pPr>
      <w:r>
        <w:rPr>
          <w:rFonts w:asciiTheme="majorHAnsi" w:hAnsiTheme="majorHAnsi" w:cstheme="majorHAnsi"/>
        </w:rPr>
        <w:t xml:space="preserve">Voditelj računovodstva:</w:t>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 xml:space="preserve">  Ravnatelj</w:t>
      </w:r>
      <w:r>
        <w:rPr>
          <w:rFonts w:asciiTheme="majorHAnsi" w:hAnsiTheme="majorHAnsi" w:cstheme="majorHAnsi"/>
        </w:rPr>
        <w:t xml:space="preserve">ica</w:t>
      </w:r>
      <w:r>
        <w:rPr>
          <w:rFonts w:asciiTheme="majorHAnsi" w:hAnsiTheme="majorHAnsi" w:cstheme="majorHAnsi"/>
        </w:rPr>
        <w:t xml:space="preserve">:</w:t>
      </w:r>
    </w:p>
    <w:p w14:paraId="727FE1A5">
      <w:pPr>
        <w:spacing/>
        <w:rPr>
          <w:rFonts w:asciiTheme="majorHAnsi" w:hAnsiTheme="majorHAnsi" w:cstheme="majorHAnsi"/>
        </w:rPr>
      </w:pPr>
      <w:r>
        <w:rPr>
          <w:rFonts w:asciiTheme="majorHAnsi" w:hAnsiTheme="majorHAnsi" w:cstheme="majorHAnsi"/>
        </w:rPr>
        <w:t xml:space="preserve">Matea Spajić, mag.oec.                     </w:t>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ab/>
        <w:t xml:space="preserve"/>
      </w:r>
      <w:r>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 xml:space="preserve">Kristina Kopf, prof.</w:t>
      </w:r>
    </w:p>
    <w:p w14:paraId="2F00707A">
      <w:pPr>
        <w:spacing/>
        <w:jc w:val="center"/>
        <w:rPr>
          <w:rFonts w:asciiTheme="majorHAnsi" w:hAnsiTheme="majorHAnsi" w:cstheme="majorHAnsi"/>
        </w:rPr>
      </w:pPr>
    </w:p>
    <w:p w14:paraId="1920E770">
      <w:pPr>
        <w:spacing/>
        <w:jc w:val="center"/>
        <w:rPr>
          <w:rFonts w:asciiTheme="majorHAnsi" w:hAnsiTheme="majorHAnsi" w:cstheme="majorHAnsi"/>
        </w:rPr>
      </w:pPr>
      <w:r>
        <w:rPr>
          <w:rFonts w:asciiTheme="majorHAnsi" w:hAnsiTheme="majorHAnsi" w:cstheme="majorHAnsi"/>
        </w:rPr>
        <w:t xml:space="preserve">U Osijeku, </w:t>
      </w:r>
      <w:r>
        <w:rPr>
          <w:rFonts w:asciiTheme="majorHAnsi" w:hAnsiTheme="majorHAnsi" w:cstheme="majorHAnsi"/>
        </w:rPr>
        <w:t xml:space="preserve">30.10</w:t>
      </w:r>
      <w:r>
        <w:rPr>
          <w:rFonts w:asciiTheme="majorHAnsi" w:hAnsiTheme="majorHAnsi" w:cstheme="majorHAnsi"/>
        </w:rPr>
        <w:t xml:space="preserve">.202</w:t>
      </w:r>
      <w:r>
        <w:rPr>
          <w:rFonts w:asciiTheme="majorHAnsi" w:hAnsiTheme="majorHAnsi" w:cstheme="majorHAnsi"/>
        </w:rPr>
        <w:t xml:space="preserve">3</w:t>
      </w:r>
      <w:r>
        <w:rPr>
          <w:rFonts w:asciiTheme="majorHAnsi" w:hAnsiTheme="majorHAnsi" w:cstheme="majorHAnsi"/>
        </w:rPr>
        <w:t xml:space="preserve">.</w:t>
      </w:r>
    </w:p>
    <w:p w14:paraId="3BD6B2CE">
      <w:pPr>
        <w:spacing/>
        <w:jc w:val="both"/>
        <w:rPr>
          <w:rFonts w:asciiTheme="majorHAnsi" w:hAnsiTheme="majorHAnsi" w:cstheme="majorHAnsi"/>
          <w:b/>
          <w:bCs/>
        </w:rPr>
      </w:pPr>
    </w:p>
    <w:p w14:paraId="369669A5">
      <w:pPr>
        <w:spacing/>
        <w:jc w:val="both"/>
        <w:rPr>
          <w:rFonts w:asciiTheme="majorHAnsi" w:hAnsiTheme="majorHAnsi" w:cstheme="majorHAnsi"/>
          <w:b/>
          <w:bCs/>
        </w:rPr>
      </w:pPr>
    </w:p>
    <w:p w14:paraId="5BB516DA">
      <w:pPr>
        <w:spacing/>
        <w:jc w:val="both"/>
        <w:rPr>
          <w:rFonts w:asciiTheme="majorHAnsi" w:hAnsiTheme="majorHAnsi" w:cstheme="majorHAnsi"/>
          <w:b/>
          <w:bCs/>
        </w:rPr>
      </w:pPr>
      <w:r>
        <w:rPr>
          <w:rFonts w:asciiTheme="majorHAnsi" w:hAnsiTheme="majorHAnsi" w:cstheme="majorHAnsi"/>
          <w:b/>
          <w:bCs/>
        </w:rPr>
        <w:t xml:space="preserve">OBRAZLOŽENJE OPĆEG DIJELA I</w:t>
      </w:r>
      <w:r>
        <w:rPr>
          <w:rFonts w:asciiTheme="majorHAnsi" w:hAnsiTheme="majorHAnsi" w:cstheme="majorHAnsi"/>
          <w:b/>
          <w:bCs/>
        </w:rPr>
        <w:t xml:space="preserve">I</w:t>
      </w:r>
      <w:r>
        <w:rPr>
          <w:rFonts w:asciiTheme="majorHAnsi" w:hAnsiTheme="majorHAnsi" w:cstheme="majorHAnsi"/>
          <w:b/>
          <w:bCs/>
        </w:rPr>
        <w:t xml:space="preserve">. REBALANSA FINANCIJSKOG PLANA ZA 2023. GODINU</w:t>
      </w:r>
    </w:p>
    <w:p w14:paraId="3A3965AD">
      <w:pPr>
        <w:spacing/>
        <w:jc w:val="both"/>
        <w:rPr>
          <w:rFonts w:asciiTheme="majorHAnsi" w:hAnsiTheme="majorHAnsi" w:cstheme="majorHAnsi"/>
          <w:b/>
          <w:bCs/>
        </w:rPr>
      </w:pPr>
    </w:p>
    <w:p w14:paraId="0FD7D2B5">
      <w:pPr>
        <w:spacing/>
        <w:jc w:val="both"/>
        <w:rPr>
          <w:rFonts w:asciiTheme="majorHAnsi" w:hAnsiTheme="majorHAnsi" w:cstheme="majorHAnsi"/>
        </w:rPr>
      </w:pPr>
      <w:r>
        <w:rPr>
          <w:rFonts w:asciiTheme="majorHAnsi" w:hAnsiTheme="majorHAnsi" w:cstheme="majorHAnsi"/>
        </w:rPr>
        <w:t xml:space="preserve">I</w:t>
      </w:r>
      <w:r>
        <w:rPr>
          <w:rFonts w:asciiTheme="majorHAnsi" w:hAnsiTheme="majorHAnsi" w:cstheme="majorHAnsi"/>
        </w:rPr>
        <w:t xml:space="preserve">I</w:t>
      </w:r>
      <w:r>
        <w:rPr>
          <w:rFonts w:asciiTheme="majorHAnsi" w:hAnsiTheme="majorHAnsi" w:cstheme="majorHAnsi"/>
        </w:rPr>
        <w:t xml:space="preserve">. Rebalans Financijskog plana Škole primijenjene umjetnosti i dizajna Osijek za 2023. godinu izrađen je u skladu s odredbama Zakona o proračunu (Narodne novine broj 144/21), Pravilnika o proračunskim klasifikacijama (Narodne novine broj 26/10, 120/13 i 01/20), Pravilnika o proračunskom računovodstvu i Računskom planu (Narodne novine broj 124/14, 115/15, 87/16, 3/18, 126/19 i 108/20), Zakonu o uvođenju eura kao službene valute u Republici Hrvatskoj (Narodne novine  broj 57/2022) te podacima za izradu Odluke o izmjenama i dopunama Proračuna Osječko-baranjske županije za 2023. godinu (</w:t>
      </w:r>
      <w:r>
        <w:rPr>
          <w:rFonts w:asciiTheme="majorHAnsi" w:hAnsiTheme="majorHAnsi" w:cstheme="majorHAnsi"/>
          <w:iCs/>
        </w:rPr>
        <w:t xml:space="preserve">KLASA: 602-03/23-01/1, URBOJ: 2158-17-02/01-22-1</w:t>
      </w:r>
      <w:r>
        <w:rPr>
          <w:rFonts w:asciiTheme="majorHAnsi" w:hAnsiTheme="majorHAnsi" w:cstheme="majorHAnsi"/>
          <w:iCs/>
        </w:rPr>
        <w:t xml:space="preserve">)</w:t>
      </w:r>
      <w:r>
        <w:rPr>
          <w:rFonts w:asciiTheme="majorHAnsi" w:hAnsiTheme="majorHAnsi" w:cstheme="majorHAnsi"/>
        </w:rPr>
        <w:t xml:space="preserve">.</w:t>
      </w:r>
    </w:p>
    <w:p w14:paraId="5517C18A">
      <w:pPr>
        <w:spacing/>
        <w:rPr>
          <w:rFonts w:asciiTheme="majorHAnsi" w:hAnsiTheme="majorHAnsi" w:cstheme="majorHAnsi"/>
        </w:rPr>
      </w:pPr>
      <w:r>
        <w:rPr>
          <w:rFonts w:asciiTheme="majorHAnsi" w:hAnsiTheme="majorHAnsi" w:cstheme="majorHAnsi"/>
        </w:rPr>
        <w:t xml:space="preserve">I</w:t>
      </w:r>
      <w:r>
        <w:rPr>
          <w:rFonts w:asciiTheme="majorHAnsi" w:hAnsiTheme="majorHAnsi" w:cstheme="majorHAnsi"/>
        </w:rPr>
        <w:t xml:space="preserve">I</w:t>
      </w:r>
      <w:r>
        <w:rPr>
          <w:rFonts w:asciiTheme="majorHAnsi" w:hAnsiTheme="majorHAnsi" w:cstheme="majorHAnsi"/>
        </w:rPr>
        <w:t xml:space="preserve">. Rebalans Financijskog plana za 2023. sadrži:</w:t>
      </w:r>
    </w:p>
    <w:p w14:paraId="0B68A221">
      <w:pPr>
        <w:numPr>
          <w:ilvl w:val="0"/>
          <w:numId w:val="4"/>
        </w:numPr>
        <w:spacing/>
        <w:rPr>
          <w:rFonts w:asciiTheme="majorHAnsi" w:hAnsiTheme="majorHAnsi" w:cstheme="majorHAnsi"/>
        </w:rPr>
      </w:pPr>
      <w:r>
        <w:rPr>
          <w:rFonts w:asciiTheme="majorHAnsi" w:hAnsiTheme="majorHAnsi" w:cstheme="majorHAnsi"/>
        </w:rPr>
        <w:t xml:space="preserve">Opći dio (izmjene sažetka računa prihoda i rashoda, računa financiranja, preneseni višak)</w:t>
      </w:r>
    </w:p>
    <w:p w14:paraId="48207B0B">
      <w:pPr>
        <w:numPr>
          <w:ilvl w:val="0"/>
          <w:numId w:val="4"/>
        </w:numPr>
        <w:spacing/>
        <w:rPr>
          <w:rFonts w:asciiTheme="majorHAnsi" w:hAnsiTheme="majorHAnsi" w:cstheme="majorHAnsi"/>
        </w:rPr>
      </w:pPr>
      <w:r>
        <w:rPr>
          <w:rFonts w:asciiTheme="majorHAnsi" w:hAnsiTheme="majorHAnsi" w:cstheme="majorHAnsi"/>
        </w:rPr>
        <w:t xml:space="preserve">Posebni dio (izmjene i dopune plana rashoda i izdataka proračunskih korisnika) i</w:t>
      </w:r>
    </w:p>
    <w:p w14:paraId="211D3189">
      <w:pPr>
        <w:numPr>
          <w:ilvl w:val="0"/>
          <w:numId w:val="4"/>
        </w:numPr>
        <w:spacing/>
        <w:rPr>
          <w:rFonts w:asciiTheme="majorHAnsi" w:hAnsiTheme="majorHAnsi" w:cstheme="majorHAnsi"/>
        </w:rPr>
      </w:pPr>
      <w:r>
        <w:rPr>
          <w:rFonts w:asciiTheme="majorHAnsi" w:hAnsiTheme="majorHAnsi" w:cstheme="majorHAnsi"/>
        </w:rPr>
        <w:t xml:space="preserve">Obrazloženje (obrazloženje općeg dijela </w:t>
      </w:r>
      <w:r>
        <w:rPr>
          <w:rFonts w:asciiTheme="majorHAnsi" w:hAnsiTheme="majorHAnsi" w:cstheme="majorHAnsi"/>
        </w:rPr>
        <w:t xml:space="preserve">II</w:t>
      </w:r>
      <w:r>
        <w:rPr>
          <w:rFonts w:asciiTheme="majorHAnsi" w:hAnsiTheme="majorHAnsi" w:cstheme="majorHAnsi"/>
        </w:rPr>
        <w:t xml:space="preserve">. rebalansa financijskog plana i obrazloženje posebnog dijela </w:t>
      </w:r>
      <w:r>
        <w:rPr>
          <w:rFonts w:asciiTheme="majorHAnsi" w:hAnsiTheme="majorHAnsi" w:cstheme="majorHAnsi"/>
        </w:rPr>
        <w:t xml:space="preserve">II</w:t>
      </w:r>
      <w:r>
        <w:rPr>
          <w:rFonts w:asciiTheme="majorHAnsi" w:hAnsiTheme="majorHAnsi" w:cstheme="majorHAnsi"/>
        </w:rPr>
        <w:t xml:space="preserve">. rebalansa financijskog plana)</w:t>
      </w:r>
    </w:p>
    <w:p w14:paraId="62CD805C">
      <w:pPr>
        <w:spacing/>
        <w:jc w:val="both"/>
        <w:rPr>
          <w:rFonts w:asciiTheme="majorHAnsi" w:hAnsiTheme="majorHAnsi" w:cstheme="majorHAnsi"/>
        </w:rPr>
      </w:pPr>
    </w:p>
    <w:p w14:paraId="61739D27">
      <w:pPr>
        <w:spacing/>
        <w:jc w:val="both"/>
        <w:rPr>
          <w:rFonts w:asciiTheme="majorHAnsi" w:hAnsiTheme="majorHAnsi" w:cstheme="majorHAnsi"/>
        </w:rPr>
      </w:pPr>
      <w:r>
        <w:rPr>
          <w:rFonts w:asciiTheme="majorHAnsi" w:hAnsiTheme="majorHAnsi" w:cstheme="majorHAnsi"/>
        </w:rPr>
        <w:t xml:space="preserve">I</w:t>
      </w:r>
      <w:r>
        <w:rPr>
          <w:rFonts w:asciiTheme="majorHAnsi" w:hAnsiTheme="majorHAnsi" w:cstheme="majorHAnsi"/>
        </w:rPr>
        <w:t xml:space="preserve">I</w:t>
      </w:r>
      <w:r>
        <w:rPr>
          <w:rFonts w:asciiTheme="majorHAnsi" w:hAnsiTheme="majorHAnsi" w:cstheme="majorHAnsi"/>
        </w:rPr>
        <w:t xml:space="preserve">.</w:t>
      </w:r>
      <w:r>
        <w:rPr>
          <w:rFonts w:asciiTheme="majorHAnsi" w:hAnsiTheme="majorHAnsi" w:cstheme="majorHAnsi"/>
        </w:rPr>
        <w:t xml:space="preserve">rebalans Financijskog plana </w:t>
      </w:r>
      <w:r>
        <w:rPr>
          <w:rFonts w:asciiTheme="majorHAnsi" w:hAnsiTheme="majorHAnsi" w:cstheme="majorHAnsi"/>
        </w:rPr>
        <w:t xml:space="preserve">Škole primijenjene umjetnosti i dizajna Osijek planiran je u iznosu 1.</w:t>
      </w:r>
      <w:r>
        <w:rPr>
          <w:rFonts w:asciiTheme="majorHAnsi" w:hAnsiTheme="majorHAnsi" w:cstheme="majorHAnsi"/>
        </w:rPr>
        <w:t xml:space="preserve">585.944</w:t>
      </w:r>
      <w:r>
        <w:rPr>
          <w:rFonts w:asciiTheme="majorHAnsi" w:hAnsiTheme="majorHAnsi" w:cstheme="majorHAnsi"/>
        </w:rPr>
        <w:t xml:space="preserve">,00 eur. </w:t>
      </w:r>
    </w:p>
    <w:p w14:paraId="28F806FE">
      <w:pPr>
        <w:pStyle w:val="ListParagraph"/>
        <w:spacing/>
        <w:ind w:left="1080"/>
        <w:jc w:val="both"/>
        <w:rPr>
          <w:rFonts w:asciiTheme="majorHAnsi" w:hAnsiTheme="majorHAnsi" w:cstheme="majorHAnsi"/>
        </w:rPr>
      </w:pPr>
    </w:p>
    <w:p w14:paraId="2B60CE91">
      <w:pPr>
        <w:spacing/>
        <w:rPr>
          <w:rFonts w:asciiTheme="majorHAnsi" w:hAnsiTheme="majorHAnsi" w:cstheme="majorHAnsi"/>
        </w:rPr>
      </w:pPr>
      <w:r>
        <w:rPr>
          <w:rFonts w:asciiTheme="majorHAnsi" w:hAnsiTheme="majorHAnsi" w:cstheme="majorHAnsi"/>
        </w:rPr>
        <w:t xml:space="preserve">Sažetak računa prihoda i rashoda:</w:t>
      </w:r>
    </w:p>
    <w:tbl>
      <w:tblPr>
        <w:tblW w:w="9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0"/>
        <w:gridCol w:w="1900"/>
        <w:gridCol w:w="1900"/>
        <w:gridCol w:w="1900"/>
      </w:tblGrid>
      <w:tr>
        <w:trPr>
          <w:trHeight w:val="405" w:hRule="atLeast"/>
        </w:trPr>
        <w:tc>
          <w:tcPr>
            <w:tcW w:type="dxa" w:w="39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 </w:t>
            </w:r>
          </w:p>
        </w:tc>
        <w:tc>
          <w:tcPr>
            <w:tcW w:type="dxa" w:w="1900"/>
            <w:tcBorders>
              <w:top w:val="single" w:color="000000" w:sz="4" w:space="0"/>
              <w:left w:val="nil"/>
              <w:bottom w:val="single" w:color="000000" w:sz="4" w:space="0"/>
              <w:right w:val="single" w:color="000000" w:sz="4" w:space="0"/>
            </w:tcBorders>
            <w:shd w:fill="auto" w:color="auto" w:val="clear"/>
            <w:noWrap/>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Plan za 2023.</w:t>
            </w:r>
          </w:p>
        </w:tc>
        <w:tc>
          <w:tcPr>
            <w:tcW w:type="dxa" w:w="1900"/>
            <w:tcBorders>
              <w:top w:val="single" w:color="000000" w:sz="4" w:space="0"/>
              <w:left w:val="nil"/>
              <w:bottom w:val="single" w:color="000000" w:sz="4" w:space="0"/>
              <w:right w:val="single" w:color="000000" w:sz="4" w:space="0"/>
            </w:tcBorders>
            <w:shd w:fill="auto" w:color="auto" w:val="clear"/>
            <w:noWrap/>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Povećanje/smanjenje</w:t>
            </w:r>
          </w:p>
        </w:tc>
        <w:tc>
          <w:tcPr>
            <w:tcW w:type="dxa" w:w="1900"/>
            <w:tcBorders>
              <w:top w:val="single" w:color="000000" w:sz="4" w:space="0"/>
              <w:left w:val="nil"/>
              <w:bottom w:val="single" w:color="000000" w:sz="4" w:space="0"/>
              <w:right w:val="single" w:color="000000" w:sz="4" w:space="0"/>
            </w:tcBorders>
            <w:shd w:fill="auto" w:color="auto" w:val="clear"/>
            <w:noWrap/>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Novi plan za 2023.</w:t>
            </w:r>
          </w:p>
        </w:tc>
      </w:tr>
      <w:tr>
        <w:trPr>
          <w:trHeight w:val="390" w:hRule="atLeast"/>
        </w:trPr>
        <w:tc>
          <w:tcPr>
            <w:tcW w:type="dxa" w:w="3940"/>
            <w:tcBorders>
              <w:top w:val="nil"/>
              <w:left w:val="single" w:color="000000" w:sz="4" w:space="0"/>
              <w:bottom w:val="single" w:color="000000" w:sz="4" w:space="0"/>
              <w:right w:val="single" w:color="000000" w:sz="4" w:space="0"/>
            </w:tcBorders>
            <w:shd w:fill="DCDCDC" w:color="000000"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UKUPNO</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1.423.154,00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162.790,00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1.585.944,00</w:t>
            </w:r>
          </w:p>
        </w:tc>
      </w:tr>
      <w:tr>
        <w:trPr>
          <w:trHeight w:val="405" w:hRule="atLeast"/>
        </w:trPr>
        <w:tc>
          <w:tcPr>
            <w:tcW w:type="dxa" w:w="394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POSLOVANJA</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1.423.114,00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162.790,00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1.585.904,00</w:t>
            </w:r>
          </w:p>
        </w:tc>
      </w:tr>
      <w:tr>
        <w:trPr>
          <w:trHeight w:val="390" w:hRule="atLeast"/>
        </w:trPr>
        <w:tc>
          <w:tcPr>
            <w:tcW w:type="dxa" w:w="394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OD PRODAJE NEFINANCIJSKE IMOVINE</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40,00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40,00</w:t>
            </w:r>
          </w:p>
        </w:tc>
      </w:tr>
      <w:tr>
        <w:trPr>
          <w:trHeight w:val="405" w:hRule="atLeast"/>
        </w:trPr>
        <w:tc>
          <w:tcPr>
            <w:tcW w:type="dxa" w:w="3940"/>
            <w:tcBorders>
              <w:top w:val="nil"/>
              <w:left w:val="single" w:color="000000" w:sz="4" w:space="0"/>
              <w:bottom w:val="single" w:color="000000" w:sz="4" w:space="0"/>
              <w:right w:val="single" w:color="000000" w:sz="4" w:space="0"/>
            </w:tcBorders>
            <w:shd w:fill="DCDCDC" w:color="000000"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RASHODI UKUPNO</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1.442.444,00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162.790,00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1.605.234,00</w:t>
            </w:r>
          </w:p>
        </w:tc>
      </w:tr>
      <w:tr>
        <w:trPr>
          <w:trHeight w:val="390" w:hRule="atLeast"/>
        </w:trPr>
        <w:tc>
          <w:tcPr>
            <w:tcW w:type="dxa" w:w="394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RASHODI POSLOVANJA</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1.413.206,00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161.116,00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1.574.322,00</w:t>
            </w:r>
          </w:p>
        </w:tc>
      </w:tr>
      <w:tr>
        <w:trPr>
          <w:trHeight w:val="405" w:hRule="atLeast"/>
        </w:trPr>
        <w:tc>
          <w:tcPr>
            <w:tcW w:type="dxa" w:w="394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RASHODI ZA NABAVU NEFINANCIJSKE IMOVINE</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29.238,00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1.674,00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30.912,00</w:t>
            </w:r>
          </w:p>
        </w:tc>
      </w:tr>
      <w:tr>
        <w:trPr>
          <w:trHeight w:val="405" w:hRule="atLeast"/>
        </w:trPr>
        <w:tc>
          <w:tcPr>
            <w:tcW w:type="dxa" w:w="3940"/>
            <w:tcBorders>
              <w:top w:val="nil"/>
              <w:left w:val="single" w:color="000000" w:sz="4" w:space="0"/>
              <w:bottom w:val="single" w:color="000000" w:sz="4" w:space="0"/>
              <w:right w:val="single" w:color="000000" w:sz="4" w:space="0"/>
            </w:tcBorders>
            <w:shd w:fill="DCDCDC" w:color="000000"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RAZLIKA - VIŠAK / MANJAK</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-19.290,00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-19.290,00</w:t>
            </w:r>
          </w:p>
        </w:tc>
      </w:tr>
    </w:tbl>
    <w:p w14:paraId="55A1A879">
      <w:pPr>
        <w:spacing/>
        <w:rPr>
          <w:rFonts w:asciiTheme="majorHAnsi" w:hAnsiTheme="majorHAnsi" w:cstheme="majorHAnsi"/>
        </w:rPr>
      </w:pPr>
    </w:p>
    <w:p w14:paraId="7E84017D">
      <w:pPr>
        <w:spacing/>
        <w:rPr>
          <w:rFonts w:asciiTheme="majorHAnsi" w:hAnsiTheme="majorHAnsi" w:cstheme="majorHAnsi"/>
          <w:sz w:val="20"/>
          <w:szCs w:val="20"/>
        </w:rPr>
      </w:pPr>
      <w:r>
        <w:rPr>
          <w:rFonts w:asciiTheme="majorHAnsi" w:hAnsiTheme="majorHAnsi" w:cstheme="majorHAnsi"/>
          <w:sz w:val="20"/>
          <w:szCs w:val="20"/>
        </w:rPr>
        <w:t xml:space="preserve">Račun financiranja</w:t>
      </w:r>
      <w:r>
        <w:rPr>
          <w:rFonts w:asciiTheme="majorHAnsi" w:hAnsiTheme="majorHAnsi" w:cstheme="majorHAnsi"/>
          <w:sz w:val="20"/>
          <w:szCs w:val="20"/>
        </w:rPr>
        <w:t xml:space="preserve">:</w:t>
      </w:r>
      <w:r>
        <w:rPr/>
        <w:fldChar w:fldCharType="begin"/>
      </w:r>
      <w:r>
        <w:rPr/>
        <w:instrText xml:space="preserve"> LINK Excel.Sheet.12 "C:\\Users\\Računovodstvo\\Desktop\\FINANCIJE 2023. GODINE\\I.REBALANS 2023\\I.REBALANS 2023.xlsx" "SAŽETAK!R26C1:R29C5" \a \f 4 \h </w:instrText>
      </w:r>
      <w:r>
        <w:rPr/>
        <w:fldChar w:fldCharType="separate"/>
      </w:r>
    </w:p>
    <w:p w14:paraId="0FEB2BF3">
      <w:pPr>
        <w:spacing/>
        <w:rPr/>
      </w:pPr>
      <w:r>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LINK Excel.Sheet.8 "C:\\Users\\Računovodstvo\\Downloads\\report (17).xls" "Sheet!R18C1:R21C4" \a \f 4 \h </w:instrText>
      </w:r>
      <w:r>
        <w:rPr>
          <w:rFonts w:asciiTheme="majorHAnsi" w:hAnsiTheme="majorHAnsi" w:cstheme="majorHAnsi"/>
          <w:sz w:val="20"/>
          <w:szCs w:val="20"/>
        </w:rPr>
        <w:fldChar w:fldCharType="separate"/>
      </w:r>
    </w:p>
    <w:tbl>
      <w:tblPr>
        <w:tblW w:w="9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0"/>
        <w:gridCol w:w="1900"/>
        <w:gridCol w:w="1900"/>
        <w:gridCol w:w="1900"/>
      </w:tblGrid>
      <w:tr>
        <w:trPr>
          <w:trHeight w:val="435" w:hRule="atLeast"/>
        </w:trPr>
        <w:tc>
          <w:tcPr>
            <w:tcW w:type="dxa" w:w="3940"/>
            <w:tcBorders>
              <w:top w:val="nil"/>
              <w:left w:val="nil"/>
              <w:bottom w:val="single" w:color="000000" w:sz="4" w:space="0"/>
              <w:right w:val="single" w:color="000000" w:sz="4" w:space="0"/>
            </w:tcBorders>
            <w:shd w:fill="auto" w:color="auto" w:val="clear"/>
            <w:hideMark/>
            <w:vAlign w:val="center"/>
          </w:tcPr>
          <w:p>
            <w:pPr>
              <w:spacing/>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 </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Plan za 2023.</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Povećanje/smanjenje</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Novi plan za 2023.</w:t>
            </w:r>
          </w:p>
        </w:tc>
      </w:tr>
      <w:tr>
        <w:trPr>
          <w:trHeight w:val="420" w:hRule="atLeast"/>
        </w:trPr>
        <w:tc>
          <w:tcPr>
            <w:tcW w:type="dxa" w:w="394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PRIMICI OD FINANCIJSKE IMOVINE I ZADUŽIVANJA</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r>
      <w:tr>
        <w:trPr>
          <w:trHeight w:val="420" w:hRule="atLeast"/>
        </w:trPr>
        <w:tc>
          <w:tcPr>
            <w:tcW w:type="dxa" w:w="394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IZDACI ZA FINANCIJSKU IMOVINU I OTPLATE ZAJMOVA</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r>
      <w:tr>
        <w:trPr>
          <w:trHeight w:val="435" w:hRule="atLeast"/>
        </w:trPr>
        <w:tc>
          <w:tcPr>
            <w:tcW w:type="dxa" w:w="3940"/>
            <w:tcBorders>
              <w:top w:val="nil"/>
              <w:left w:val="single" w:color="000000" w:sz="4" w:space="0"/>
              <w:bottom w:val="single" w:color="000000" w:sz="4" w:space="0"/>
              <w:right w:val="single" w:color="000000" w:sz="4" w:space="0"/>
            </w:tcBorders>
            <w:shd w:fill="DCDCDC" w:color="000000"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NETO FINANCIRANJE</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r>
    </w:tbl>
    <w:p w14:paraId="1D58F2B9">
      <w:pPr>
        <w:spacing/>
        <w:rPr>
          <w:rFonts w:asciiTheme="majorHAnsi" w:hAnsiTheme="majorHAnsi" w:cstheme="majorHAnsi"/>
          <w:sz w:val="20"/>
          <w:szCs w:val="20"/>
        </w:rPr>
      </w:pPr>
      <w:r>
        <w:rPr>
          <w:rFonts w:asciiTheme="majorHAnsi" w:hAnsiTheme="majorHAnsi" w:cstheme="majorHAnsi"/>
          <w:sz w:val="20"/>
          <w:szCs w:val="20"/>
        </w:rPr>
        <w:fldChar w:fldCharType="end"/>
      </w:r>
    </w:p>
    <w:p w14:paraId="7ED886E0">
      <w:pPr>
        <w:spacing/>
        <w:rPr>
          <w:rFonts w:asciiTheme="majorHAnsi" w:hAnsiTheme="majorHAnsi" w:cstheme="majorHAnsi"/>
          <w:sz w:val="20"/>
          <w:szCs w:val="20"/>
        </w:rPr>
      </w:pPr>
      <w:r>
        <w:rPr>
          <w:rFonts w:asciiTheme="majorHAnsi" w:hAnsiTheme="majorHAnsi" w:cstheme="majorHAnsi"/>
          <w:sz w:val="20"/>
          <w:szCs w:val="20"/>
        </w:rPr>
        <w:t xml:space="preserve">Preneseni višak:</w:t>
      </w:r>
    </w:p>
    <w:p w14:paraId="3CDE441B">
      <w:pPr>
        <w:spacing/>
        <w:rPr/>
      </w:pPr>
      <w:r>
        <w:rPr/>
        <w:fldChar w:fldCharType="begin"/>
      </w:r>
      <w:r>
        <w:rPr/>
        <w:instrText xml:space="preserve"> LINK Excel.Sheet.8 "C:\\Users\\Računovodstvo\\Downloads\\report (17).xls" "Sheet!R25C1:R29C4" \a \f 4 \h </w:instrText>
      </w:r>
      <w:r>
        <w:rPr/>
        <w:fldChar w:fldCharType="separate"/>
      </w:r>
    </w:p>
    <w:tbl>
      <w:tblPr>
        <w:tblW w:w="9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0"/>
        <w:gridCol w:w="1900"/>
        <w:gridCol w:w="1900"/>
        <w:gridCol w:w="1900"/>
      </w:tblGrid>
      <w:tr>
        <w:trPr>
          <w:trHeight w:val="450" w:hRule="atLeast"/>
        </w:trPr>
        <w:tc>
          <w:tcPr>
            <w:tcW w:type="dxa" w:w="39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 </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Plan za 2023.</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Povećanje/smanjenje</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Novi plan za 2023.</w:t>
            </w:r>
          </w:p>
        </w:tc>
      </w:tr>
      <w:tr>
        <w:trPr>
          <w:trHeight w:val="465" w:hRule="atLeast"/>
        </w:trPr>
        <w:tc>
          <w:tcPr>
            <w:tcW w:type="dxa" w:w="3940"/>
            <w:tcBorders>
              <w:top w:val="nil"/>
              <w:left w:val="single" w:color="000000" w:sz="4" w:space="0"/>
              <w:bottom w:val="single" w:color="000000" w:sz="4" w:space="0"/>
              <w:right w:val="single" w:color="000000" w:sz="4" w:space="0"/>
            </w:tcBorders>
            <w:shd w:fill="A9A9A9" w:color="000000"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UKUPAN DONOS VIŠKA / MANJKA IZ PRETHODNIH GODINA*</w:t>
            </w:r>
          </w:p>
        </w:tc>
        <w:tc>
          <w:tcPr>
            <w:tcW w:type="dxa" w:w="1900"/>
            <w:tcBorders>
              <w:top w:val="nil"/>
              <w:left w:val="nil"/>
              <w:bottom w:val="single" w:color="000000" w:sz="4" w:space="0"/>
              <w:right w:val="single" w:color="000000" w:sz="4" w:space="0"/>
            </w:tcBorders>
            <w:shd w:fill="A9A9A9" w:color="000000"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19.290,00</w:t>
            </w:r>
          </w:p>
        </w:tc>
        <w:tc>
          <w:tcPr>
            <w:tcW w:type="dxa" w:w="1900"/>
            <w:tcBorders>
              <w:top w:val="nil"/>
              <w:left w:val="nil"/>
              <w:bottom w:val="single" w:color="000000" w:sz="4" w:space="0"/>
              <w:right w:val="single" w:color="000000" w:sz="4" w:space="0"/>
            </w:tcBorders>
            <w:shd w:fill="A9A9A9" w:color="000000"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A9A9A9" w:color="000000"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19.290,00</w:t>
            </w:r>
          </w:p>
        </w:tc>
      </w:tr>
      <w:tr>
        <w:trPr>
          <w:trHeight w:val="450" w:hRule="atLeast"/>
        </w:trPr>
        <w:tc>
          <w:tcPr>
            <w:tcW w:type="dxa" w:w="3940"/>
            <w:tcBorders>
              <w:top w:val="nil"/>
              <w:left w:val="single" w:color="000000" w:sz="4" w:space="0"/>
              <w:bottom w:val="single" w:color="000000" w:sz="4" w:space="0"/>
              <w:right w:val="single" w:color="000000" w:sz="4" w:space="0"/>
            </w:tcBorders>
            <w:shd w:fill="DCDCDC" w:color="000000"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VIŠAK / MANJAK IZ PRETHODNIH GODINA KOJI ĆE SE RASPOREDITI / POKRITI</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19.290,00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900"/>
            <w:tcBorders>
              <w:top w:val="nil"/>
              <w:left w:val="nil"/>
              <w:bottom w:val="single" w:color="000000" w:sz="4" w:space="0"/>
              <w:right w:val="single" w:color="000000" w:sz="4" w:space="0"/>
            </w:tcBorders>
            <w:shd w:fill="DCDCDC" w:color="000000"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19.290,00</w:t>
            </w:r>
          </w:p>
        </w:tc>
      </w:tr>
      <w:tr>
        <w:trPr>
          <w:trHeight w:val="1005" w:hRule="atLeast"/>
        </w:trPr>
        <w:tc>
          <w:tcPr>
            <w:tcW w:type="dxa" w:w="3940"/>
            <w:tcBorders>
              <w:top w:val="nil"/>
              <w:left w:val="nil"/>
              <w:bottom w:val="nil"/>
              <w:right w:val="nil"/>
            </w:tcBorders>
            <w:shd w:fill="auto" w:color="auto" w:val="clear"/>
            <w:noWrap/>
            <w:hideMark/>
            <w:vAlign w:val="bottom"/>
          </w:tcPr>
          <w:p>
            <w:pPr>
              <w:spacing w:after="0" w:line="240" w:lineRule="auto"/>
              <w:jc w:val="right"/>
              <w:rPr>
                <w:rFonts w:ascii="Arial" w:hAnsi="Arial" w:eastAsia="Times New Roman" w:cs="Arial"/>
                <w:b/>
                <w:bCs/>
                <w:color w:val="000000"/>
                <w:sz w:val="16"/>
                <w:szCs w:val="16"/>
                <w:lang w:eastAsia="hr-HR"/>
              </w:rPr>
            </w:pPr>
          </w:p>
        </w:tc>
        <w:tc>
          <w:tcPr>
            <w:tcW w:type="dxa" w:w="1900"/>
            <w:tcBorders>
              <w:top w:val="nil"/>
              <w:left w:val="nil"/>
              <w:bottom w:val="nil"/>
              <w:right w:val="nil"/>
            </w:tcBorders>
            <w:shd w:fill="auto" w:color="auto" w:val="clear"/>
            <w:noWrap/>
            <w:hideMark/>
            <w:vAlign w:val="bottom"/>
          </w:tcPr>
          <w:p>
            <w:pPr>
              <w:spacing w:after="0" w:line="240" w:lineRule="auto"/>
              <w:rPr>
                <w:rFonts w:ascii="Times New Roman" w:hAnsi="Times New Roman" w:eastAsia="Times New Roman" w:cs="Times New Roman"/>
                <w:sz w:val="20"/>
                <w:szCs w:val="20"/>
                <w:lang w:eastAsia="hr-HR"/>
              </w:rPr>
            </w:pPr>
          </w:p>
        </w:tc>
        <w:tc>
          <w:tcPr>
            <w:tcW w:type="dxa" w:w="1900"/>
            <w:tcBorders>
              <w:top w:val="nil"/>
              <w:left w:val="nil"/>
              <w:bottom w:val="nil"/>
              <w:right w:val="nil"/>
            </w:tcBorders>
            <w:shd w:fill="auto" w:color="auto" w:val="clear"/>
            <w:noWrap/>
            <w:hideMark/>
            <w:vAlign w:val="bottom"/>
          </w:tcPr>
          <w:p>
            <w:pPr>
              <w:spacing w:after="0" w:line="240" w:lineRule="auto"/>
              <w:rPr>
                <w:rFonts w:ascii="Times New Roman" w:hAnsi="Times New Roman" w:eastAsia="Times New Roman" w:cs="Times New Roman"/>
                <w:sz w:val="20"/>
                <w:szCs w:val="20"/>
                <w:lang w:eastAsia="hr-HR"/>
              </w:rPr>
            </w:pPr>
          </w:p>
        </w:tc>
        <w:tc>
          <w:tcPr>
            <w:tcW w:type="dxa" w:w="1900"/>
            <w:tcBorders>
              <w:top w:val="nil"/>
              <w:left w:val="nil"/>
              <w:bottom w:val="nil"/>
              <w:right w:val="nil"/>
            </w:tcBorders>
            <w:shd w:fill="auto" w:color="auto" w:val="clear"/>
            <w:noWrap/>
            <w:hideMark/>
            <w:vAlign w:val="bottom"/>
          </w:tcPr>
          <w:p>
            <w:pPr>
              <w:spacing w:after="0" w:line="240" w:lineRule="auto"/>
              <w:rPr>
                <w:rFonts w:ascii="Times New Roman" w:hAnsi="Times New Roman" w:eastAsia="Times New Roman" w:cs="Times New Roman"/>
                <w:sz w:val="20"/>
                <w:szCs w:val="20"/>
                <w:lang w:eastAsia="hr-HR"/>
              </w:rPr>
            </w:pPr>
          </w:p>
        </w:tc>
      </w:tr>
      <w:tr>
        <w:trPr>
          <w:trHeight w:val="510" w:hRule="atLeast"/>
        </w:trPr>
        <w:tc>
          <w:tcPr>
            <w:tcW w:type="dxa" w:w="3940"/>
            <w:tcBorders>
              <w:top w:val="single" w:color="000000" w:sz="4" w:space="0"/>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VIŠAK / MANJAK + NETO FINANCIRANJE + PRENESENI REZULTAT</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900"/>
            <w:tcBorders>
              <w:top w:val="single" w:color="000000" w:sz="4" w:space="0"/>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r>
    </w:tbl>
    <w:p w14:paraId="650E4A7B">
      <w:pPr>
        <w:spacing/>
        <w:rPr/>
      </w:pPr>
      <w:r>
        <w:rPr/>
        <w:fldChar w:fldCharType="end"/>
      </w:r>
      <w:r>
        <w:rPr/>
        <w:fldChar w:fldCharType="begin"/>
      </w:r>
      <w:r>
        <w:rPr/>
        <w:instrText xml:space="preserve"> LINK Excel.Sheet.12 "C:\\Users\\Računovodstvo\\Desktop\\FINANCIJE 2023. GODINE\\I.REBALANS 2023\\I.REBALANS 2023.xlsx" "SAŽETAK!R33C1:R37C5" \a \f 4 \h </w:instrText>
      </w:r>
      <w:r>
        <w:rPr/>
        <w:fldChar w:fldCharType="separate"/>
      </w:r>
    </w:p>
    <w:p w14:paraId="2A6964BE">
      <w:pPr>
        <w:spacing/>
        <w:rPr>
          <w:rFonts w:asciiTheme="majorHAnsi" w:hAnsiTheme="majorHAnsi" w:cstheme="majorHAnsi"/>
          <w:sz w:val="20"/>
          <w:szCs w:val="20"/>
        </w:rPr>
      </w:pPr>
      <w:r>
        <w:rPr/>
        <w:fldChar w:fldCharType="end"/>
      </w:r>
    </w:p>
    <w:p w14:paraId="0EC240B7">
      <w:pPr>
        <w:spacing/>
        <w:rPr>
          <w:rFonts w:asciiTheme="majorHAnsi" w:hAnsiTheme="majorHAnsi" w:cstheme="majorHAnsi"/>
          <w:sz w:val="20"/>
          <w:szCs w:val="20"/>
        </w:rPr>
      </w:pPr>
      <w:r>
        <w:rPr>
          <w:rFonts w:asciiTheme="majorHAnsi" w:hAnsiTheme="majorHAnsi" w:cstheme="majorHAnsi"/>
          <w:sz w:val="20"/>
          <w:szCs w:val="20"/>
        </w:rPr>
        <w:t xml:space="preserve">Prihodi prema izvorima financiranja:</w:t>
      </w:r>
    </w:p>
    <w:p w14:paraId="2A00E272">
      <w:pPr>
        <w:spacing/>
        <w:rPr/>
      </w:pPr>
      <w:r>
        <w:rPr/>
        <w:fldChar w:fldCharType="begin"/>
      </w:r>
      <w:r>
        <w:rPr/>
        <w:instrText xml:space="preserve"> LINK Excel.Sheet.8 "C:\\Users\\Računovodstvo\\Downloads\\report (18).xls" "Sheet!R9C1:R26C6" \a \f 4 \h </w:instrText>
      </w:r>
      <w:r>
        <w:rPr/>
        <w:fldChar w:fldCharType="separate"/>
      </w:r>
    </w:p>
    <w:tbl>
      <w:tblPr>
        <w:tblW w:w="10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9"/>
        <w:gridCol w:w="640"/>
        <w:gridCol w:w="3330"/>
        <w:gridCol w:w="1716"/>
        <w:gridCol w:w="1919"/>
        <w:gridCol w:w="1816"/>
      </w:tblGrid>
      <w:tr>
        <w:trPr>
          <w:trHeight w:val="555" w:hRule="atLeast"/>
        </w:trPr>
        <w:tc>
          <w:tcPr>
            <w:tcW w:type="dxa" w:w="660"/>
            <w:tcBorders>
              <w:top w:val="single" w:color="000000" w:sz="4" w:space="0"/>
              <w:left w:val="single" w:color="000000" w:sz="4" w:space="0"/>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Konto</w:t>
            </w:r>
          </w:p>
        </w:tc>
        <w:tc>
          <w:tcPr>
            <w:tcW w:type="dxa" w:w="64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Izvor</w:t>
            </w:r>
          </w:p>
        </w:tc>
        <w:tc>
          <w:tcPr>
            <w:tcW w:type="dxa" w:w="334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Naziv prihoda</w:t>
            </w:r>
          </w:p>
        </w:tc>
        <w:tc>
          <w:tcPr>
            <w:tcW w:type="dxa" w:w="172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Plan za 2023.</w:t>
            </w:r>
          </w:p>
        </w:tc>
        <w:tc>
          <w:tcPr>
            <w:tcW w:type="dxa" w:w="192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Povećanje/smanjenje</w:t>
            </w:r>
          </w:p>
        </w:tc>
        <w:tc>
          <w:tcPr>
            <w:tcW w:type="dxa" w:w="182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Novi plan za 2023.</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6</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Prihodi poslovanja</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1.423.114,00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162.790,00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1.585.904,00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63</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Pomoći iz inozemstva i od subjekata unutar općeg proračuna</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1.235.366,00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138.382,00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1.373.748,00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VLASTITI PRIHODI - PRORAČUNSKI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49</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54</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1.235.366,00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138.382,00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1.373.748,00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65</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od upravnih i administrativnih pristojbi, pristojbi po posebnim propisima i naknada</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21.368,00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4.100,00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25.468,00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49</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21.368,00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4.100,00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25.468,00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66</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od prodaje proizvoda i robe te pruženih usluga i prihodi od donacija</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17.007,00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6.763,00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23.770,00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VLASTITI PRIHODI - PRORAČUNSKI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16.343,00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4.863,00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21.206,00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62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UGOVORI DONACIJE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664,00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1.900,00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2.564,00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67</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iz nadležnog proračuna i od HZZO-a temeljem ugovornih obveza</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149.373,00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13.545,00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162.918,00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11</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OPĆI PRIHODI I PRIMICI - ŽUPANIJSKI PRORAČUN</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1.767,00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1.998,00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3.765,00</w:t>
            </w:r>
          </w:p>
        </w:tc>
      </w:tr>
      <w:tr>
        <w:trPr>
          <w:trHeight w:val="58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46</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DECENTRALIZACIJA - SREDNJE ŠKOLSTVO</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145.360,00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11.547,00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156.907,00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ŽUPANIJSKI PRORAČUN - SHEMA VOĆE. POVRĆE I MLIJEKO</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2.246,00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2.246,00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7</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Prihodi od prodaje nefinancijske imovine</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40,00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40,00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72</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Prihodi od prodaje proizvedene dugotrajne imovine</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40,00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40,00</w:t>
            </w:r>
          </w:p>
        </w:tc>
      </w:tr>
      <w:tr>
        <w:trPr>
          <w:trHeight w:val="60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72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OD NEFINANCIJSKE IMOVINE I NADOKNADE ŠTETA S OSNOVA OSIGURANJA-KORISNICI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40,00</w:t>
            </w:r>
          </w:p>
        </w:tc>
      </w:tr>
    </w:tbl>
    <w:p w14:paraId="2F3C937E">
      <w:pPr>
        <w:spacing/>
        <w:rPr>
          <w:rFonts w:asciiTheme="majorHAnsi" w:hAnsiTheme="majorHAnsi" w:cstheme="majorHAnsi"/>
        </w:rPr>
      </w:pPr>
      <w:r>
        <w:rPr/>
        <w:fldChar w:fldCharType="end"/>
      </w:r>
    </w:p>
    <w:p w14:paraId="719F5AFC">
      <w:pPr>
        <w:spacing/>
        <w:rPr>
          <w:rFonts w:asciiTheme="majorHAnsi" w:hAnsiTheme="majorHAnsi" w:cstheme="majorHAnsi"/>
        </w:rPr>
      </w:pPr>
    </w:p>
    <w:p w14:paraId="02618B3E">
      <w:pPr>
        <w:spacing/>
        <w:rPr>
          <w:rFonts w:asciiTheme="majorHAnsi" w:hAnsiTheme="majorHAnsi" w:cstheme="majorHAnsi"/>
        </w:rPr>
      </w:pPr>
      <w:r>
        <w:rPr>
          <w:rFonts w:asciiTheme="majorHAnsi" w:hAnsiTheme="majorHAnsi" w:cstheme="majorHAnsi"/>
          <w:sz w:val="20"/>
          <w:szCs w:val="20"/>
        </w:rPr>
        <w:t xml:space="preserve">Višak prihoda prema izvorima financiranja</w:t>
      </w:r>
      <w:r>
        <w:rPr>
          <w:rFonts w:asciiTheme="majorHAnsi" w:hAnsiTheme="majorHAnsi" w:cstheme="majorHAnsi"/>
        </w:rPr>
        <w:t xml:space="preserve">:</w:t>
      </w:r>
    </w:p>
    <w:p w14:paraId="03DA7E01">
      <w:pPr>
        <w:spacing/>
        <w:rPr>
          <w:rFonts w:asciiTheme="majorHAnsi" w:hAnsiTheme="majorHAnsi" w:cstheme="majorHAnsi"/>
        </w:rPr>
      </w:pPr>
      <w:r>
        <w:rPr>
          <w:noProof/>
          <w:lang w:eastAsia="hr-HR"/>
        </w:rPr>
        <w:drawing>
          <wp:inline>
            <wp:extent cx="5760720" cy="1418590"/>
            <wp:effectExtent xmlns:wp="http://schemas.openxmlformats.org/drawingml/2006/wordprocessingDrawing" l="0" t="0" r="0" b="0"/>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1418590"/>
                    </a:xfrm>
                    <a:prstGeom prst="rect">
                      <a:avLst/>
                    </a:prstGeom>
                  </pic:spPr>
                </pic:pic>
              </a:graphicData>
            </a:graphic>
          </wp:inline>
        </w:drawing>
      </w:r>
    </w:p>
    <w:p w14:paraId="2FEAB823">
      <w:pPr>
        <w:spacing w:before="240"/>
        <w:rPr>
          <w:rFonts w:asciiTheme="majorHAnsi" w:hAnsiTheme="majorHAnsi" w:cstheme="majorHAnsi"/>
          <w:sz w:val="18"/>
          <w:szCs w:val="18"/>
        </w:rPr>
      </w:pPr>
      <w:r>
        <w:rPr>
          <w:rFonts w:asciiTheme="majorHAnsi" w:hAnsiTheme="majorHAnsi" w:cstheme="majorHAnsi"/>
        </w:rPr>
        <w:t xml:space="preserve">            </w:t>
      </w:r>
      <w:r>
        <w:rPr>
          <w:rFonts w:asciiTheme="majorHAnsi" w:hAnsiTheme="majorHAnsi" w:cstheme="majorHAnsi"/>
          <w:sz w:val="18"/>
          <w:szCs w:val="18"/>
        </w:rPr>
        <w:t xml:space="preserve">UKUPNI PRIHODI + VIŠAK PRIHODA</w:t>
      </w:r>
      <w:r>
        <w:rPr>
          <w:rFonts w:asciiTheme="majorHAnsi" w:hAnsiTheme="majorHAnsi" w:cstheme="majorHAnsi"/>
          <w:sz w:val="18"/>
          <w:szCs w:val="18"/>
        </w:rPr>
        <w:t xml:space="preserve"> = 1.585.944,00 EUR + 19.290,00 EUR = 1.605.234,00 EUR</w:t>
      </w:r>
    </w:p>
    <w:p w14:paraId="0C0F1E28">
      <w:pPr>
        <w:spacing/>
        <w:rPr>
          <w:rFonts w:asciiTheme="majorHAnsi" w:hAnsiTheme="majorHAnsi" w:cstheme="majorHAnsi"/>
        </w:rPr>
      </w:pPr>
    </w:p>
    <w:p w14:paraId="50648904">
      <w:pPr>
        <w:spacing/>
        <w:rPr>
          <w:rFonts w:asciiTheme="majorHAnsi" w:hAnsiTheme="majorHAnsi" w:cstheme="majorHAnsi"/>
          <w:sz w:val="20"/>
          <w:szCs w:val="20"/>
        </w:rPr>
      </w:pPr>
      <w:r>
        <w:rPr>
          <w:rFonts w:asciiTheme="majorHAnsi" w:hAnsiTheme="majorHAnsi" w:cstheme="majorHAnsi"/>
          <w:sz w:val="20"/>
          <w:szCs w:val="20"/>
        </w:rPr>
        <w:t xml:space="preserve">Rashodi prema izvorima financiranja: </w:t>
      </w:r>
      <w:r>
        <w:rPr/>
        <w:fldChar w:fldCharType="begin"/>
      </w:r>
      <w:r>
        <w:rPr/>
        <w:instrText xml:space="preserve"> LINK Excel.Sheet.8 "C:\\Users\\Računovodstvo\\Downloads\\report (18).xls" "Sheet!R29C1:R53C6" \a \f 4 \h </w:instrText>
      </w:r>
      <w:r>
        <w:rPr/>
        <w:fldChar w:fldCharType="separate"/>
      </w:r>
    </w:p>
    <w:tbl>
      <w:tblPr>
        <w:tblW w:w="10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9"/>
        <w:gridCol w:w="640"/>
        <w:gridCol w:w="3330"/>
        <w:gridCol w:w="1716"/>
        <w:gridCol w:w="1919"/>
        <w:gridCol w:w="1816"/>
      </w:tblGrid>
      <w:tr>
        <w:trPr>
          <w:trHeight w:val="555" w:hRule="atLeast"/>
        </w:trPr>
        <w:tc>
          <w:tcPr>
            <w:tcW w:type="dxa" w:w="660"/>
            <w:tcBorders>
              <w:top w:val="single" w:color="000000" w:sz="4" w:space="0"/>
              <w:left w:val="single" w:color="000000" w:sz="4" w:space="0"/>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Konto</w:t>
            </w:r>
          </w:p>
        </w:tc>
        <w:tc>
          <w:tcPr>
            <w:tcW w:type="dxa" w:w="64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Izvor</w:t>
            </w:r>
          </w:p>
        </w:tc>
        <w:tc>
          <w:tcPr>
            <w:tcW w:type="dxa" w:w="334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Naziv rashoda</w:t>
            </w:r>
          </w:p>
        </w:tc>
        <w:tc>
          <w:tcPr>
            <w:tcW w:type="dxa" w:w="172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Plan za 2023.</w:t>
            </w:r>
          </w:p>
        </w:tc>
        <w:tc>
          <w:tcPr>
            <w:tcW w:type="dxa" w:w="192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Povećanje/smanjenje</w:t>
            </w:r>
          </w:p>
        </w:tc>
        <w:tc>
          <w:tcPr>
            <w:tcW w:type="dxa" w:w="1820"/>
            <w:tcBorders>
              <w:top w:val="single" w:color="000000" w:sz="4" w:space="0"/>
              <w:left w:val="nil"/>
              <w:bottom w:val="single" w:color="000000" w:sz="4" w:space="0"/>
              <w:right w:val="single" w:color="000000" w:sz="4" w:space="0"/>
            </w:tcBorders>
            <w:shd w:fill="DCDCDC" w:color="000000" w:val="clear"/>
            <w:hideMark/>
            <w:vAlign w:val="center"/>
          </w:tcPr>
          <w:p>
            <w:pPr>
              <w:spacing w:after="0" w:line="240" w:lineRule="auto"/>
              <w:jc w:val="center"/>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Novi plan za 2023.</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3</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Rashodi poslovanja</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1.413.206,00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161.116,00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1.574.322,00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31</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Rashodi za zaposlene</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1.228.100,00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141.186,00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1.369.286,00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11</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OPĆI PRIHODI I PRIMICI - ŽUPANIJSKI PRORAČUN</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194,00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194,00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VLASTITI PRIHODI - PRORAČUNSKI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3.318,00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900,00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4.218,00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49</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300,00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300,00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54</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1.224.288,00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140.286,00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1.364.574,00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32</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Materijalni rashodi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184.860,00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19.930,00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204.790,00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11</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OPĆI PRIHODI I PRIMICI - ŽUPANIJSKI PRORAČUN</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1.407,00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1.998,00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3.405,00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VLASTITI PRIHODI - PRORAČUNSKI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8.396,00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4.485,00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12.881,00</w:t>
            </w:r>
          </w:p>
        </w:tc>
      </w:tr>
      <w:tr>
        <w:trPr>
          <w:trHeight w:val="58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46</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DECENTRALIZACIJA - SREDNJE ŠKOLSTVO</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144.033,00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11.547,00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155.580,00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49</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19.936,00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19.936,00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ŽUPANIJSKI PRORAČUN - SHEMA VOĆE. POVRĆE I MLIJEKO</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2.246,00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2.246,00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54</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8.178,00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8.178,00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62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UGOVORI DONACIJE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664,00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1.900,00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2.564,00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34</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Financijski rashodi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246,00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246,00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54</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246,00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246,00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4</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Rashodi za nabavu nefinancijske imovine</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29.238,00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1.674,00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b/>
                <w:bCs/>
                <w:color w:val="000000"/>
                <w:sz w:val="16"/>
                <w:szCs w:val="16"/>
                <w:lang w:eastAsia="hr-HR"/>
              </w:rPr>
            </w:pPr>
            <w:r>
              <w:rPr>
                <w:rFonts w:ascii="Arial" w:hAnsi="Arial" w:eastAsia="Times New Roman" w:cs="Arial"/>
                <w:b/>
                <w:bCs/>
                <w:color w:val="000000"/>
                <w:sz w:val="16"/>
                <w:szCs w:val="16"/>
                <w:lang w:eastAsia="hr-HR"/>
              </w:rPr>
              <w:t xml:space="preserve">30.912,00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42</w:t>
            </w:r>
          </w:p>
        </w:tc>
        <w:tc>
          <w:tcPr>
            <w:tcW w:type="dxa" w:w="640"/>
            <w:tcBorders>
              <w:top w:val="nil"/>
              <w:left w:val="nil"/>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Rashodi za nabavu proizvedene dugotrajne imovine</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29.238,00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1.674,00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color w:val="000000"/>
                <w:sz w:val="16"/>
                <w:szCs w:val="16"/>
                <w:lang w:eastAsia="hr-HR"/>
              </w:rPr>
            </w:pPr>
            <w:r>
              <w:rPr>
                <w:rFonts w:ascii="Arial" w:hAnsi="Arial" w:eastAsia="Times New Roman" w:cs="Arial"/>
                <w:color w:val="000000"/>
                <w:sz w:val="16"/>
                <w:szCs w:val="16"/>
                <w:lang w:eastAsia="hr-HR"/>
              </w:rPr>
              <w:t xml:space="preserve">30.912,00</w:t>
            </w:r>
          </w:p>
        </w:tc>
      </w:tr>
      <w:tr>
        <w:trPr>
          <w:trHeight w:val="42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11</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OPĆI PRIHODI I PRIMICI - ŽUPANIJSKI PRORAČUN</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166,00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166,00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32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VLASTITI PRIHODI - PRORAČUNSKI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14.783,00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-522,00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14.261,00</w:t>
            </w:r>
          </w:p>
        </w:tc>
      </w:tr>
      <w:tr>
        <w:trPr>
          <w:trHeight w:val="60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46</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DECENTRALIZACIJA - SREDNJE ŠKOLSTVO</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1.327,00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1.327,00</w:t>
            </w:r>
          </w:p>
        </w:tc>
      </w:tr>
      <w:tr>
        <w:trPr>
          <w:trHeight w:val="405"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49</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ZA POSEBNE NAMJENE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10.268,00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4.100,00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14.368,00</w:t>
            </w:r>
          </w:p>
        </w:tc>
      </w:tr>
      <w:tr>
        <w:trPr>
          <w:trHeight w:val="36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54</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POMOĆI - 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2.654,00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-1.904,00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750,00</w:t>
            </w:r>
          </w:p>
        </w:tc>
      </w:tr>
      <w:tr>
        <w:trPr>
          <w:trHeight w:val="600" w:hRule="atLeast"/>
        </w:trPr>
        <w:tc>
          <w:tcPr>
            <w:tcW w:type="dxa" w:w="660"/>
            <w:tcBorders>
              <w:top w:val="nil"/>
              <w:left w:val="single" w:color="000000" w:sz="4" w:space="0"/>
              <w:bottom w:val="single" w:color="000000" w:sz="4" w:space="0"/>
              <w:right w:val="single" w:color="000000" w:sz="4" w:space="0"/>
            </w:tcBorders>
            <w:shd w:fill="auto" w:color="auto" w:val="clear"/>
            <w:hideMark/>
          </w:tcPr>
          <w:p>
            <w:pPr>
              <w:spacing w:after="0" w:line="240" w:lineRule="auto"/>
              <w:rPr>
                <w:rFonts w:ascii="Arial" w:hAnsi="Arial" w:eastAsia="Times New Roman" w:cs="Arial"/>
                <w:color w:val="000000"/>
                <w:sz w:val="18"/>
                <w:szCs w:val="18"/>
                <w:lang w:eastAsia="hr-HR"/>
              </w:rPr>
            </w:pPr>
            <w:r>
              <w:rPr>
                <w:rFonts w:ascii="Arial" w:hAnsi="Arial" w:eastAsia="Times New Roman" w:cs="Arial"/>
                <w:color w:val="000000"/>
                <w:sz w:val="18"/>
                <w:szCs w:val="18"/>
                <w:lang w:eastAsia="hr-HR"/>
              </w:rPr>
              <w:t xml:space="preserve"> </w:t>
            </w:r>
          </w:p>
        </w:tc>
        <w:tc>
          <w:tcPr>
            <w:tcW w:type="dxa" w:w="6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72</w:t>
            </w:r>
          </w:p>
        </w:tc>
        <w:tc>
          <w:tcPr>
            <w:tcW w:type="dxa" w:w="3340"/>
            <w:tcBorders>
              <w:top w:val="nil"/>
              <w:left w:val="nil"/>
              <w:bottom w:val="single" w:color="000000" w:sz="4" w:space="0"/>
              <w:right w:val="single" w:color="000000" w:sz="4" w:space="0"/>
            </w:tcBorders>
            <w:shd w:fill="auto" w:color="auto" w:val="clear"/>
            <w:hideMark/>
            <w:vAlign w:val="center"/>
          </w:tcPr>
          <w:p>
            <w:pPr>
              <w:spacing w:after="0" w:line="240" w:lineRule="auto"/>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PRIHODI OD NEFINANCIJSKE IMOVINE I NADOKNADE ŠTETA S OSNOVA OSIGURANJA-KORISNICI</w:t>
            </w:r>
          </w:p>
        </w:tc>
        <w:tc>
          <w:tcPr>
            <w:tcW w:type="dxa" w:w="17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40,00</w:t>
            </w:r>
          </w:p>
        </w:tc>
        <w:tc>
          <w:tcPr>
            <w:tcW w:type="dxa" w:w="19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0,00</w:t>
            </w:r>
          </w:p>
        </w:tc>
        <w:tc>
          <w:tcPr>
            <w:tcW w:type="dxa" w:w="1820"/>
            <w:tcBorders>
              <w:top w:val="nil"/>
              <w:left w:val="nil"/>
              <w:bottom w:val="single" w:color="000000" w:sz="4" w:space="0"/>
              <w:right w:val="single" w:color="000000" w:sz="4" w:space="0"/>
            </w:tcBorders>
            <w:shd w:fill="auto" w:color="auto" w:val="clear"/>
            <w:hideMark/>
            <w:vAlign w:val="center"/>
          </w:tcPr>
          <w:p>
            <w:pPr>
              <w:spacing w:after="0" w:line="240" w:lineRule="auto"/>
              <w:jc w:val="right"/>
              <w:rPr>
                <w:rFonts w:ascii="Arial" w:hAnsi="Arial" w:eastAsia="Times New Roman" w:cs="Arial"/>
                <w:i/>
                <w:iCs/>
                <w:color w:val="000000"/>
                <w:sz w:val="16"/>
                <w:szCs w:val="16"/>
                <w:lang w:eastAsia="hr-HR"/>
              </w:rPr>
            </w:pPr>
            <w:r>
              <w:rPr>
                <w:rFonts w:ascii="Arial" w:hAnsi="Arial" w:eastAsia="Times New Roman" w:cs="Arial"/>
                <w:i/>
                <w:iCs/>
                <w:color w:val="000000"/>
                <w:sz w:val="16"/>
                <w:szCs w:val="16"/>
                <w:lang w:eastAsia="hr-HR"/>
              </w:rPr>
              <w:t xml:space="preserve">40,00</w:t>
            </w:r>
          </w:p>
        </w:tc>
      </w:tr>
    </w:tbl>
    <w:p w14:paraId="387F4AF6">
      <w:pPr>
        <w:spacing/>
        <w:rPr>
          <w:rFonts w:asciiTheme="majorHAnsi" w:hAnsiTheme="majorHAnsi" w:cstheme="majorHAnsi"/>
          <w:sz w:val="20"/>
          <w:szCs w:val="20"/>
        </w:rPr>
      </w:pPr>
      <w:r>
        <w:rPr/>
        <w:fldChar w:fldCharType="end"/>
      </w:r>
    </w:p>
    <w:p w14:paraId="66A88DB5">
      <w:pPr>
        <w:spacing/>
        <w:rPr>
          <w:rFonts w:asciiTheme="majorHAnsi" w:hAnsiTheme="majorHAnsi" w:cstheme="majorHAnsi"/>
          <w:b/>
          <w:bCs/>
          <w:color w:val="000000"/>
          <w:sz w:val="20"/>
          <w:szCs w:val="20"/>
          <w:lang w:eastAsia="hr-HR"/>
        </w:rPr>
      </w:pPr>
      <w:r>
        <w:rPr>
          <w:rFonts w:asciiTheme="majorHAnsi" w:hAnsiTheme="majorHAnsi" w:cstheme="majorHAnsi"/>
          <w:b/>
          <w:bCs/>
          <w:sz w:val="20"/>
          <w:szCs w:val="20"/>
        </w:rPr>
        <w:t xml:space="preserve">Izvor 46 – </w:t>
      </w:r>
      <w:r>
        <w:rPr>
          <w:rFonts w:asciiTheme="majorHAnsi" w:hAnsiTheme="majorHAnsi" w:cstheme="majorHAnsi"/>
          <w:b/>
          <w:bCs/>
          <w:color w:val="000000"/>
          <w:sz w:val="20"/>
          <w:szCs w:val="20"/>
          <w:lang w:eastAsia="hr-HR"/>
        </w:rPr>
        <w:t xml:space="preserve">Prihodi za posebne namjene – decentralizacija – srednje školstvo. </w:t>
      </w:r>
    </w:p>
    <w:p w14:paraId="6B514C71">
      <w:pPr>
        <w:spacing/>
        <w:jc w:val="both"/>
        <w:rPr>
          <w:rFonts w:asciiTheme="majorHAnsi" w:hAnsiTheme="majorHAnsi" w:cstheme="majorHAnsi"/>
          <w:sz w:val="20"/>
          <w:szCs w:val="20"/>
        </w:rPr>
      </w:pPr>
      <w:r>
        <w:rPr>
          <w:rFonts w:asciiTheme="majorHAnsi" w:hAnsiTheme="majorHAnsi" w:cstheme="majorHAnsi"/>
          <w:color w:val="000000"/>
          <w:sz w:val="20"/>
          <w:szCs w:val="20"/>
          <w:lang w:eastAsia="hr-HR"/>
        </w:rPr>
        <w:t xml:space="preserve">Ovi prihodi obuhvaćaju opće i stvarne troškove, te izgradnju rekonstrukciju i opremanje objekata srednjeg školstva. </w:t>
      </w:r>
      <w:r>
        <w:rPr>
          <w:rFonts w:asciiTheme="majorHAnsi" w:hAnsiTheme="majorHAnsi" w:cstheme="majorHAnsi"/>
          <w:sz w:val="20"/>
          <w:szCs w:val="20"/>
        </w:rPr>
        <w:t xml:space="preserve"> </w:t>
      </w:r>
    </w:p>
    <w:p w14:paraId="28EE7646">
      <w:pPr>
        <w:spacing/>
        <w:jc w:val="both"/>
        <w:rPr>
          <w:rFonts w:asciiTheme="majorHAnsi" w:hAnsiTheme="majorHAnsi" w:cstheme="majorHAnsi"/>
          <w:sz w:val="20"/>
          <w:szCs w:val="20"/>
        </w:rPr>
      </w:pPr>
      <w:r>
        <w:rPr>
          <w:rFonts w:asciiTheme="majorHAnsi" w:hAnsiTheme="majorHAnsi" w:cstheme="majorHAnsi"/>
          <w:sz w:val="20"/>
          <w:szCs w:val="20"/>
        </w:rPr>
        <w:t xml:space="preserve">Od općih troškova planirali smo obvezne rashode za stručna usavršavanja, uredski i ostali materijal za potrebe redovnog poslovanja, pedagošku dokumentaciju, usluge telefona, pošte i prijevoza, materijal i usluge tekućeg i investicijskog održavanja, komunalne usluge te ostale troškove prema prioritetima funkcioniranja Škole. </w:t>
      </w:r>
    </w:p>
    <w:p w14:paraId="5F3C3292">
      <w:pPr>
        <w:spacing/>
        <w:jc w:val="both"/>
        <w:rPr>
          <w:rFonts w:asciiTheme="majorHAnsi" w:hAnsiTheme="majorHAnsi" w:cstheme="majorHAnsi"/>
          <w:sz w:val="20"/>
          <w:szCs w:val="20"/>
        </w:rPr>
      </w:pPr>
      <w:r>
        <w:rPr>
          <w:rFonts w:asciiTheme="majorHAnsi" w:hAnsiTheme="majorHAnsi" w:cstheme="majorHAnsi"/>
          <w:sz w:val="20"/>
          <w:szCs w:val="20"/>
        </w:rPr>
        <w:t xml:space="preserve">Stvarni troškove odnose se na odnose na troškove energije, zdravstvenih pregleda zaposlenika, nastavnih materijala, prijevoza zaposlenika na posao i s posla, zakupnine i najamnine, usluga tekućeg održavanja građevinskih objekata, postrojenja i opreme te komunalne naknade. Stvarni troškovi planirani su u skladu s limitima osnivača. </w:t>
      </w:r>
    </w:p>
    <w:p w14:paraId="236CEE65">
      <w:pPr>
        <w:spacing/>
        <w:jc w:val="both"/>
        <w:rPr>
          <w:rFonts w:asciiTheme="majorHAnsi" w:hAnsiTheme="majorHAnsi" w:cstheme="majorHAnsi"/>
          <w:sz w:val="20"/>
          <w:szCs w:val="20"/>
        </w:rPr>
      </w:pPr>
      <w:r>
        <w:rPr>
          <w:rFonts w:asciiTheme="majorHAnsi" w:hAnsiTheme="majorHAnsi" w:cstheme="majorHAnsi"/>
          <w:sz w:val="20"/>
          <w:szCs w:val="20"/>
        </w:rPr>
        <w:t xml:space="preserve">Također, prema limitima određenih od strane Upravnog tijela Županije nadležnog za financije, planirani su i rashodi za opremanje Škole uredskom opremom i namještajem u iznosu 1.327,00 eura</w:t>
      </w:r>
    </w:p>
    <w:p w14:paraId="25026CFD">
      <w:pPr>
        <w:spacing/>
        <w:jc w:val="both"/>
        <w:rPr>
          <w:rFonts w:asciiTheme="majorHAnsi" w:hAnsiTheme="majorHAnsi" w:cstheme="majorHAnsi"/>
          <w:sz w:val="20"/>
          <w:szCs w:val="20"/>
        </w:rPr>
      </w:pPr>
    </w:p>
    <w:p w14:paraId="691BE6A5">
      <w:pPr>
        <w:spacing/>
        <w:rPr>
          <w:rFonts w:asciiTheme="majorHAnsi" w:hAnsiTheme="majorHAnsi" w:cstheme="majorHAnsi"/>
          <w:b/>
          <w:bCs/>
          <w:sz w:val="20"/>
          <w:szCs w:val="20"/>
        </w:rPr>
      </w:pPr>
      <w:r>
        <w:rPr>
          <w:rFonts w:asciiTheme="majorHAnsi" w:hAnsiTheme="majorHAnsi" w:cstheme="majorHAnsi"/>
          <w:b/>
          <w:bCs/>
          <w:sz w:val="20"/>
          <w:szCs w:val="20"/>
        </w:rPr>
        <w:t xml:space="preserve">Izvor 11 – Opći prihodi i primici – Županijski proračun </w:t>
      </w:r>
    </w:p>
    <w:p w14:paraId="6E6C45BE">
      <w:pPr>
        <w:spacing/>
        <w:jc w:val="both"/>
        <w:rPr>
          <w:rFonts w:asciiTheme="majorHAnsi" w:hAnsiTheme="majorHAnsi" w:cstheme="majorHAnsi"/>
          <w:sz w:val="20"/>
          <w:szCs w:val="20"/>
        </w:rPr>
      </w:pPr>
      <w:r>
        <w:rPr>
          <w:rFonts w:asciiTheme="majorHAnsi" w:hAnsiTheme="majorHAnsi" w:cstheme="majorHAnsi"/>
          <w:sz w:val="20"/>
          <w:szCs w:val="20"/>
        </w:rPr>
        <w:t xml:space="preserve">Budući da je Škola je domaćin </w:t>
      </w:r>
      <w:r>
        <w:rPr>
          <w:rFonts w:asciiTheme="majorHAnsi" w:hAnsiTheme="majorHAnsi" w:cstheme="majorHAnsi"/>
          <w:sz w:val="20"/>
          <w:szCs w:val="20"/>
        </w:rPr>
        <w:t xml:space="preserve">županijskog i državnog natjecanja iz likovnog. Z</w:t>
      </w:r>
      <w:r>
        <w:rPr>
          <w:rFonts w:asciiTheme="majorHAnsi" w:hAnsiTheme="majorHAnsi" w:cstheme="majorHAnsi"/>
          <w:sz w:val="20"/>
          <w:szCs w:val="20"/>
        </w:rPr>
        <w:t xml:space="preserve">a organizaciju i izvođenje natjecanja </w:t>
      </w:r>
      <w:r>
        <w:rPr>
          <w:rFonts w:asciiTheme="majorHAnsi" w:hAnsiTheme="majorHAnsi" w:cstheme="majorHAnsi"/>
          <w:sz w:val="20"/>
          <w:szCs w:val="20"/>
        </w:rPr>
        <w:t xml:space="preserve">predviđen je trošak</w:t>
      </w:r>
      <w:r>
        <w:rPr>
          <w:rFonts w:asciiTheme="majorHAnsi" w:hAnsiTheme="majorHAnsi" w:cstheme="majorHAnsi"/>
          <w:sz w:val="20"/>
          <w:szCs w:val="20"/>
        </w:rPr>
        <w:t xml:space="preserve"> plaća, </w:t>
      </w:r>
      <w:r>
        <w:rPr>
          <w:rFonts w:asciiTheme="majorHAnsi" w:hAnsiTheme="majorHAnsi" w:cstheme="majorHAnsi"/>
          <w:sz w:val="20"/>
          <w:szCs w:val="20"/>
        </w:rPr>
        <w:t xml:space="preserve">dnevnica </w:t>
      </w:r>
      <w:r>
        <w:rPr>
          <w:rFonts w:asciiTheme="majorHAnsi" w:hAnsiTheme="majorHAnsi" w:cstheme="majorHAnsi"/>
          <w:sz w:val="20"/>
          <w:szCs w:val="20"/>
        </w:rPr>
        <w:t xml:space="preserve">i reprezentacije. </w:t>
      </w:r>
    </w:p>
    <w:p w14:paraId="77779353">
      <w:pPr>
        <w:spacing/>
        <w:jc w:val="both"/>
        <w:rPr>
          <w:rFonts w:asciiTheme="majorHAnsi" w:hAnsiTheme="majorHAnsi" w:cstheme="majorHAnsi"/>
          <w:sz w:val="20"/>
          <w:szCs w:val="20"/>
        </w:rPr>
      </w:pPr>
      <w:r>
        <w:rPr>
          <w:rFonts w:asciiTheme="majorHAnsi" w:hAnsiTheme="majorHAnsi" w:cstheme="majorHAnsi"/>
          <w:sz w:val="20"/>
          <w:szCs w:val="20"/>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14:paraId="5B131AB4">
      <w:pPr>
        <w:spacing/>
        <w:jc w:val="both"/>
        <w:rPr>
          <w:rFonts w:asciiTheme="majorHAnsi" w:hAnsiTheme="majorHAnsi" w:cstheme="majorHAnsi"/>
          <w:sz w:val="20"/>
          <w:szCs w:val="20"/>
        </w:rPr>
      </w:pPr>
      <w:r>
        <w:rPr>
          <w:rFonts w:asciiTheme="majorHAnsi" w:hAnsiTheme="majorHAnsi" w:cstheme="majorHAnsi"/>
          <w:sz w:val="20"/>
          <w:szCs w:val="20"/>
        </w:rPr>
        <w:t xml:space="preserve">Osim toga, za potrebe izrade scenografije za predstavu „Orašar“, osnivač je doznačio sredstva sukladno zahtjevu Škole, odnosno 1.998,00 eur. </w:t>
      </w:r>
    </w:p>
    <w:p w14:paraId="6CA86A58">
      <w:pPr>
        <w:spacing/>
        <w:jc w:val="both"/>
        <w:rPr>
          <w:rFonts w:asciiTheme="majorHAnsi" w:hAnsiTheme="majorHAnsi" w:cstheme="majorHAnsi"/>
          <w:b/>
          <w:bCs/>
          <w:sz w:val="20"/>
          <w:szCs w:val="20"/>
        </w:rPr>
      </w:pPr>
      <w:r>
        <w:rPr>
          <w:rFonts w:asciiTheme="majorHAnsi" w:hAnsiTheme="majorHAnsi" w:cstheme="majorHAnsi"/>
          <w:b/>
          <w:bCs/>
          <w:sz w:val="20"/>
          <w:szCs w:val="20"/>
        </w:rPr>
        <w:t xml:space="preserve">Izvor 52 </w:t>
      </w:r>
    </w:p>
    <w:p w14:paraId="110C2C91">
      <w:pPr>
        <w:spacing/>
        <w:jc w:val="both"/>
        <w:rPr>
          <w:rFonts w:asciiTheme="majorHAnsi" w:hAnsiTheme="majorHAnsi" w:cstheme="majorHAnsi"/>
          <w:sz w:val="20"/>
          <w:szCs w:val="20"/>
        </w:rPr>
      </w:pPr>
      <w:r>
        <w:rPr>
          <w:rFonts w:asciiTheme="majorHAnsi" w:hAnsiTheme="majorHAnsi" w:cstheme="majorHAnsi"/>
          <w:sz w:val="20"/>
          <w:szCs w:val="20"/>
        </w:rPr>
        <w:t xml:space="preserve">Pomoći – Županijski proračun – shema voće, povrće i mlijeko. Mjerom školska shema voća, povrća i mlijeka , učenicima je od strane Osnivača osigurano svježe voće najmanje jednom tjedno.</w:t>
      </w:r>
    </w:p>
    <w:p w14:paraId="620441F9">
      <w:pPr>
        <w:spacing/>
        <w:jc w:val="both"/>
        <w:rPr>
          <w:rFonts w:asciiTheme="majorHAnsi" w:hAnsiTheme="majorHAnsi" w:cstheme="majorHAnsi"/>
          <w:sz w:val="20"/>
          <w:szCs w:val="20"/>
        </w:rPr>
      </w:pPr>
      <w:r>
        <w:rPr>
          <w:rFonts w:asciiTheme="majorHAnsi" w:hAnsiTheme="majorHAnsi" w:cstheme="majorHAnsi"/>
          <w:b/>
          <w:bCs/>
          <w:sz w:val="20"/>
          <w:szCs w:val="20"/>
        </w:rPr>
        <w:t xml:space="preserve">Izvor 32</w:t>
      </w:r>
      <w:r>
        <w:rPr>
          <w:rFonts w:asciiTheme="majorHAnsi" w:hAnsiTheme="majorHAnsi" w:cstheme="majorHAnsi"/>
          <w:sz w:val="20"/>
          <w:szCs w:val="20"/>
        </w:rPr>
        <w:t xml:space="preserve"> </w:t>
      </w:r>
    </w:p>
    <w:p w14:paraId="16280464">
      <w:pPr>
        <w:spacing/>
        <w:jc w:val="both"/>
        <w:rPr>
          <w:rFonts w:asciiTheme="majorHAnsi" w:hAnsiTheme="majorHAnsi" w:cstheme="majorHAnsi"/>
          <w:sz w:val="20"/>
          <w:szCs w:val="20"/>
        </w:rPr>
      </w:pPr>
      <w:r>
        <w:rPr>
          <w:rFonts w:asciiTheme="majorHAnsi" w:hAnsiTheme="majorHAnsi" w:cstheme="majorHAnsi"/>
          <w:sz w:val="20"/>
          <w:szCs w:val="20"/>
        </w:rPr>
        <w:t xml:space="preserve">Vlastite prihode čine prihodi od iznajmljivanja </w:t>
      </w:r>
      <w:r>
        <w:rPr>
          <w:rFonts w:asciiTheme="majorHAnsi" w:hAnsiTheme="majorHAnsi" w:cstheme="majorHAnsi"/>
          <w:sz w:val="20"/>
          <w:szCs w:val="20"/>
        </w:rPr>
        <w:t xml:space="preserve">školske dvoran</w:t>
      </w:r>
      <w:r>
        <w:rPr>
          <w:rFonts w:asciiTheme="majorHAnsi" w:hAnsiTheme="majorHAnsi" w:cstheme="majorHAnsi"/>
          <w:sz w:val="20"/>
          <w:szCs w:val="20"/>
        </w:rPr>
        <w:t xml:space="preserve">e, restorana i prostora za aparate. Također ih čine prihodi od izdavanja duplikata svjedodžbe i prodaje proizvoda (školska zadruga). Škola također ima preneseni višak po ovom izvoru te raspoloživim sredstvima planira opremiti učionicu računalima i financirati ostale materijalne rashode. </w:t>
      </w:r>
    </w:p>
    <w:p w14:paraId="2B356A60">
      <w:pPr>
        <w:spacing/>
        <w:jc w:val="both"/>
        <w:rPr>
          <w:rFonts w:asciiTheme="majorHAnsi" w:hAnsiTheme="majorHAnsi" w:cstheme="majorHAnsi"/>
          <w:b/>
          <w:bCs/>
          <w:sz w:val="20"/>
          <w:szCs w:val="20"/>
        </w:rPr>
      </w:pPr>
      <w:r>
        <w:rPr>
          <w:rFonts w:asciiTheme="majorHAnsi" w:hAnsiTheme="majorHAnsi" w:cstheme="majorHAnsi"/>
          <w:b/>
          <w:bCs/>
          <w:sz w:val="20"/>
          <w:szCs w:val="20"/>
        </w:rPr>
        <w:t xml:space="preserve">Izvor 49 </w:t>
      </w:r>
    </w:p>
    <w:p w14:paraId="02CEB7E1">
      <w:pPr>
        <w:spacing/>
        <w:jc w:val="both"/>
        <w:rPr>
          <w:rFonts w:asciiTheme="majorHAnsi" w:hAnsiTheme="majorHAnsi" w:cstheme="majorHAnsi"/>
          <w:sz w:val="20"/>
          <w:szCs w:val="20"/>
        </w:rPr>
      </w:pPr>
      <w:r>
        <w:rPr>
          <w:rFonts w:asciiTheme="majorHAnsi" w:hAnsiTheme="majorHAnsi" w:cstheme="majorHAnsi"/>
          <w:sz w:val="20"/>
          <w:szCs w:val="20"/>
        </w:rPr>
        <w:t xml:space="preserve">Prihodi za posebne namjene obuhvaćaju prihode </w:t>
      </w:r>
      <w:r>
        <w:rPr>
          <w:rFonts w:asciiTheme="majorHAnsi" w:hAnsiTheme="majorHAnsi" w:cstheme="majorHAnsi"/>
          <w:sz w:val="20"/>
          <w:szCs w:val="20"/>
        </w:rPr>
        <w:t xml:space="preserve">od participacije koju plaćaju učenici škole (prvi razredi plaćaju 79,63 eur, drugi i treći razredi 66,36 eur, a četvrti razredi 39,82 eur). Prihodima od participacije financiraju se nastavni materijali. Višak prihoda po izvoru 49 predstavlja višak koji se prenosi za financiranje nastavnih materijala u 2023. godini.  </w:t>
      </w:r>
    </w:p>
    <w:p w14:paraId="4F70EAB6">
      <w:pPr>
        <w:spacing/>
        <w:jc w:val="both"/>
        <w:rPr>
          <w:rFonts w:asciiTheme="majorHAnsi" w:hAnsiTheme="majorHAnsi" w:cstheme="majorHAnsi"/>
          <w:b/>
          <w:bCs/>
          <w:sz w:val="20"/>
          <w:szCs w:val="20"/>
        </w:rPr>
      </w:pPr>
      <w:r>
        <w:rPr>
          <w:rFonts w:asciiTheme="majorHAnsi" w:hAnsiTheme="majorHAnsi" w:cstheme="majorHAnsi"/>
          <w:b/>
          <w:bCs/>
          <w:sz w:val="20"/>
          <w:szCs w:val="20"/>
        </w:rPr>
        <w:t xml:space="preserve">Izvor 54 - Pomoći </w:t>
      </w:r>
    </w:p>
    <w:p w14:paraId="39E915E5">
      <w:pPr>
        <w:spacing/>
        <w:jc w:val="both"/>
        <w:rPr>
          <w:rFonts w:asciiTheme="majorHAnsi" w:hAnsiTheme="majorHAnsi" w:cstheme="majorHAnsi"/>
          <w:sz w:val="20"/>
          <w:szCs w:val="20"/>
        </w:rPr>
      </w:pPr>
      <w:r>
        <w:rPr>
          <w:rFonts w:asciiTheme="majorHAnsi" w:hAnsiTheme="majorHAnsi" w:cstheme="majorHAnsi"/>
          <w:sz w:val="20"/>
          <w:szCs w:val="20"/>
        </w:rPr>
        <w:t xml:space="preserve">Tekuće pomoći proračunskim korisnicima iz proračuna koji im nije nadležan odnose se na uplate iz državnog proračuna za financiranje plaća i ostalih rashoda za zaposlene. </w:t>
      </w:r>
    </w:p>
    <w:p w14:paraId="3EA3D92D">
      <w:pPr>
        <w:spacing/>
        <w:jc w:val="both"/>
        <w:rPr>
          <w:rFonts w:asciiTheme="majorHAnsi" w:hAnsiTheme="majorHAnsi" w:cstheme="majorHAnsi"/>
          <w:sz w:val="20"/>
          <w:szCs w:val="20"/>
        </w:rPr>
      </w:pPr>
      <w:r>
        <w:rPr>
          <w:rFonts w:asciiTheme="majorHAnsi" w:hAnsiTheme="majorHAnsi" w:cstheme="majorHAnsi"/>
          <w:sz w:val="20"/>
          <w:szCs w:val="20"/>
        </w:rPr>
        <w:t xml:space="preserve">Kapitalne pomoći proračunskim korisnicima iz proračuna koji im nije nadležan odnose se na uplate iz državnog proračuna za financiranje obvezne školske lektire, nabavu udžbenika učenicima čije su obitelji korisnici zajamčene minimalne naknade te nabavu opreme za provedbu kurikuluma.</w:t>
      </w:r>
    </w:p>
    <w:p w14:paraId="0C8C490C">
      <w:pPr>
        <w:spacing/>
        <w:jc w:val="both"/>
        <w:rPr>
          <w:rFonts w:asciiTheme="majorHAnsi" w:hAnsiTheme="majorHAnsi" w:cstheme="majorHAnsi"/>
          <w:sz w:val="20"/>
          <w:szCs w:val="20"/>
        </w:rPr>
      </w:pPr>
    </w:p>
    <w:p w14:paraId="74EEA0FE">
      <w:pPr>
        <w:spacing/>
        <w:jc w:val="both"/>
        <w:rPr>
          <w:rFonts w:asciiTheme="majorHAnsi" w:hAnsiTheme="majorHAnsi" w:cstheme="majorHAnsi"/>
          <w:b/>
          <w:bCs/>
          <w:sz w:val="20"/>
          <w:szCs w:val="20"/>
        </w:rPr>
      </w:pPr>
      <w:r>
        <w:rPr>
          <w:rFonts w:asciiTheme="majorHAnsi" w:hAnsiTheme="majorHAnsi" w:cstheme="majorHAnsi"/>
          <w:b/>
          <w:bCs/>
          <w:sz w:val="20"/>
          <w:szCs w:val="20"/>
        </w:rPr>
        <w:t xml:space="preserve">Izvor 62 </w:t>
      </w:r>
    </w:p>
    <w:p w14:paraId="2ECF568F">
      <w:pPr>
        <w:spacing/>
        <w:jc w:val="both"/>
        <w:rPr>
          <w:rFonts w:asciiTheme="majorHAnsi" w:hAnsiTheme="majorHAnsi" w:cstheme="majorHAnsi"/>
          <w:sz w:val="20"/>
          <w:szCs w:val="20"/>
        </w:rPr>
      </w:pPr>
      <w:r>
        <w:rPr>
          <w:rFonts w:asciiTheme="majorHAnsi" w:hAnsiTheme="majorHAnsi" w:cstheme="majorHAnsi"/>
          <w:sz w:val="20"/>
          <w:szCs w:val="20"/>
        </w:rPr>
        <w:t xml:space="preserve">Donacije su strogo namjenska sredstva za financiranje izvanučioničke nastave.</w:t>
      </w:r>
    </w:p>
    <w:p w14:paraId="6338832A">
      <w:pPr>
        <w:spacing/>
        <w:jc w:val="both"/>
        <w:rPr>
          <w:rFonts w:asciiTheme="majorHAnsi" w:hAnsiTheme="majorHAnsi" w:cstheme="majorHAnsi"/>
          <w:b/>
          <w:bCs/>
          <w:sz w:val="20"/>
          <w:szCs w:val="20"/>
        </w:rPr>
      </w:pPr>
    </w:p>
    <w:p w14:paraId="0F82DE18">
      <w:pPr>
        <w:spacing/>
        <w:jc w:val="both"/>
        <w:rPr>
          <w:rFonts w:asciiTheme="majorHAnsi" w:hAnsiTheme="majorHAnsi" w:cstheme="majorHAnsi"/>
          <w:b/>
          <w:bCs/>
          <w:sz w:val="20"/>
          <w:szCs w:val="20"/>
        </w:rPr>
      </w:pPr>
      <w:r>
        <w:rPr>
          <w:rFonts w:asciiTheme="majorHAnsi" w:hAnsiTheme="majorHAnsi" w:cstheme="majorHAnsi"/>
          <w:b/>
          <w:bCs/>
          <w:sz w:val="20"/>
          <w:szCs w:val="20"/>
        </w:rPr>
        <w:t xml:space="preserve">Izvor 72 </w:t>
      </w:r>
    </w:p>
    <w:p w14:paraId="0A0CCC96">
      <w:pPr>
        <w:spacing/>
        <w:jc w:val="both"/>
        <w:rPr>
          <w:rFonts w:asciiTheme="majorHAnsi" w:hAnsiTheme="majorHAnsi" w:cstheme="majorHAnsi"/>
          <w:sz w:val="20"/>
          <w:szCs w:val="20"/>
        </w:rPr>
      </w:pPr>
      <w:r>
        <w:rPr>
          <w:rFonts w:asciiTheme="majorHAnsi" w:hAnsiTheme="majorHAnsi" w:cstheme="majorHAnsi"/>
          <w:sz w:val="20"/>
          <w:szCs w:val="20"/>
        </w:rPr>
        <w:t xml:space="preserve">P</w:t>
      </w:r>
      <w:r>
        <w:rPr>
          <w:rFonts w:asciiTheme="majorHAnsi" w:hAnsiTheme="majorHAnsi" w:cstheme="majorHAnsi"/>
          <w:sz w:val="20"/>
          <w:szCs w:val="20"/>
        </w:rPr>
        <w:t xml:space="preserve">redstavlja višak prihoda ostvaren ranijih godina prodajom stana, a namijenjen je za ulaganje u dugotrajnu nefinancijsku imovinu.</w:t>
      </w:r>
    </w:p>
    <w:p w14:paraId="37611A55">
      <w:pPr>
        <w:spacing/>
        <w:rPr>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 xml:space="preserve"> LINK Excel.Sheet.12 "C:\\Users\\Računovodstvo\\Downloads\\I.REBALANS 2023.xlsx" "RAČUN PRIHODA I RASHODA!R95C10:R95C16" \a \f 4 \h </w:instrText>
      </w:r>
      <w:r>
        <w:rPr>
          <w:rFonts w:asciiTheme="majorHAnsi" w:hAnsiTheme="majorHAnsi" w:cstheme="majorHAnsi"/>
          <w:sz w:val="20"/>
          <w:szCs w:val="20"/>
        </w:rPr>
        <w:instrText xml:space="preserve"> \* MERGEFORMAT </w:instrText>
      </w:r>
      <w:r>
        <w:rPr>
          <w:rFonts w:asciiTheme="majorHAnsi" w:hAnsiTheme="majorHAnsi" w:cstheme="majorHAnsi"/>
          <w:sz w:val="20"/>
          <w:szCs w:val="20"/>
        </w:rPr>
        <w:fldChar w:fldCharType="separate"/>
      </w:r>
    </w:p>
    <w:p w14:paraId="2E1733F8">
      <w:pPr>
        <w:spacing/>
        <w:rPr>
          <w:rFonts w:asciiTheme="majorHAnsi" w:hAnsiTheme="majorHAnsi" w:cstheme="majorHAnsi"/>
        </w:rPr>
      </w:pPr>
      <w:r>
        <w:rPr>
          <w:rFonts w:asciiTheme="majorHAnsi" w:hAnsiTheme="majorHAnsi" w:cstheme="majorHAnsi"/>
          <w:sz w:val="20"/>
          <w:szCs w:val="20"/>
        </w:rPr>
        <w:fldChar w:fldCharType="end"/>
      </w:r>
    </w:p>
    <w:tbl>
      <w:tblPr>
        <w:tblW w:w="9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60"/>
        <w:gridCol w:w="227"/>
        <w:gridCol w:w="7725"/>
      </w:tblGrid>
      <w:tr>
        <w:trPr>
          <w:trHeight w:val="9682" w:hRule="atLeast"/>
        </w:trPr>
        <w:tc>
          <w:tcPr>
            <w:tcW w:type="dxa" w:w="2448"/>
            <w:tcBorders>
              <w:top w:val="single" w:color="auto" w:sz="12" w:space="0"/>
              <w:left w:val="single" w:color="auto" w:sz="12" w:space="0"/>
              <w:bottom w:val="single" w:color="auto" w:sz="12" w:space="0"/>
              <w:right w:val="single" w:color="auto" w:sz="12" w:space="0"/>
            </w:tcBorders>
          </w:tcPr>
          <w:p>
            <w:pPr>
              <w:spacing/>
              <w:rPr>
                <w:rFonts w:asciiTheme="majorHAnsi" w:hAnsiTheme="majorHAnsi" w:cstheme="majorHAnsi"/>
                <w:iCs/>
              </w:rPr>
            </w:pPr>
            <w:r>
              <w:rPr>
                <w:rFonts w:asciiTheme="majorHAnsi" w:hAnsiTheme="majorHAnsi" w:cstheme="majorHAnsi"/>
                <w:iCs/>
              </w:rPr>
              <w:t xml:space="preserve">NAZIV KORISNIKA:</w:t>
            </w:r>
          </w:p>
          <w:p>
            <w:pPr>
              <w:spacing/>
              <w:rPr>
                <w:rFonts w:asciiTheme="majorHAnsi" w:hAnsiTheme="majorHAnsi" w:cstheme="majorHAnsi"/>
                <w:bCs/>
              </w:rPr>
            </w:pPr>
            <w:r>
              <w:rPr>
                <w:rFonts w:asciiTheme="majorHAnsi" w:hAnsiTheme="majorHAnsi" w:cstheme="majorHAnsi"/>
                <w:bCs/>
              </w:rPr>
              <w:t xml:space="preserve">SAŽETAK DJELOKRUGA RADA:</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2</w:t>
            </w:r>
            <w:r>
              <w:rPr>
                <w:rFonts w:asciiTheme="majorHAnsi" w:hAnsiTheme="majorHAnsi" w:cstheme="majorHAnsi"/>
                <w:bCs/>
              </w:rPr>
              <w:t xml:space="preserve">. REBALANSA FINANCIJSKOG PLANA ZA 2023</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tc>
        <w:tc>
          <w:tcPr>
            <w:tcW w:type="dxa" w:w="236"/>
            <w:tcBorders>
              <w:top w:val="nil"/>
              <w:left w:val="single" w:color="auto" w:sz="12" w:space="0"/>
              <w:bottom w:val="nil"/>
              <w:right w:val="single" w:color="auto" w:sz="12" w:space="0"/>
            </w:tcBorders>
          </w:tcPr>
          <w:p>
            <w:pPr>
              <w:spacing/>
              <w:rPr>
                <w:rFonts w:asciiTheme="majorHAnsi" w:hAnsiTheme="majorHAnsi" w:cstheme="majorHAnsi"/>
              </w:rPr>
            </w:pPr>
          </w:p>
        </w:tc>
        <w:tc>
          <w:tcPr>
            <w:tcW w:type="dxa" w:w="7128"/>
            <w:tcBorders>
              <w:top w:val="single" w:color="auto" w:sz="12" w:space="0"/>
              <w:left w:val="single" w:color="auto" w:sz="12" w:space="0"/>
              <w:bottom w:val="single" w:color="auto" w:sz="12" w:space="0"/>
              <w:right w:val="single" w:color="auto" w:sz="12"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ŠKOLA PRIMIJENJENE UMJETNOSTI I DIZAJNA OSIJEK</w:t>
            </w:r>
          </w:p>
          <w:p>
            <w:pPr>
              <w:spacing/>
              <w:jc w:val="both"/>
              <w:rPr>
                <w:rFonts w:asciiTheme="majorHAnsi" w:hAnsiTheme="majorHAnsi" w:cstheme="majorHAnsi"/>
                <w:sz w:val="20"/>
                <w:szCs w:val="20"/>
              </w:rPr>
            </w:pPr>
            <w:r>
              <w:rPr>
                <w:rFonts w:asciiTheme="majorHAnsi" w:hAnsiTheme="majorHAnsi" w:cstheme="majorHAnsi"/>
                <w:sz w:val="20"/>
                <w:szCs w:val="20"/>
              </w:rPr>
              <w:t xml:space="preserve">Škola primijenjene umjetnosti i dizajna Osijek je jedina  škola u regiji koja nudi srednjoškolsko obrazovanje u području likovne umjetnosti i dizajna te kao takva ima jedinstven profil koji je prepoznatljiv i cijenjen kako od učenika, roditelja tako i od struke i lokalne zajednice. Škola nastoji ravnomjerno uravnotežiti sadržaje općeobrazovnih nastavnih predmeta te stručno-teorijskih nastavnih predmeta. Nastava se odvija u petodnevnom radnom tjednu, a iznimno se nastava održava i subotom. Nastava se odvija u A i B smjeni. U </w:t>
            </w:r>
            <w:r>
              <w:rPr>
                <w:rFonts w:asciiTheme="majorHAnsi" w:hAnsiTheme="majorHAnsi" w:cstheme="majorHAnsi"/>
                <w:bCs/>
                <w:sz w:val="20"/>
                <w:szCs w:val="20"/>
              </w:rPr>
              <w:t xml:space="preserve">A</w:t>
            </w:r>
            <w:r>
              <w:rPr>
                <w:rFonts w:asciiTheme="majorHAnsi" w:hAnsiTheme="majorHAnsi" w:cstheme="majorHAnsi"/>
                <w:sz w:val="20"/>
                <w:szCs w:val="20"/>
              </w:rPr>
              <w:t xml:space="preserve"> smjeni prvi i treći razredi nastavu pohađaju prije podne, a drugi i četvrti poslije podne. U </w:t>
            </w:r>
            <w:r>
              <w:rPr>
                <w:rFonts w:asciiTheme="majorHAnsi" w:hAnsiTheme="majorHAnsi" w:cstheme="majorHAnsi"/>
                <w:bCs/>
                <w:sz w:val="20"/>
                <w:szCs w:val="20"/>
              </w:rPr>
              <w:t xml:space="preserve">B</w:t>
            </w:r>
            <w:r>
              <w:rPr>
                <w:rFonts w:asciiTheme="majorHAnsi" w:hAnsiTheme="majorHAnsi" w:cstheme="majorHAnsi"/>
                <w:sz w:val="20"/>
                <w:szCs w:val="20"/>
              </w:rPr>
              <w:t xml:space="preserve"> smjeni drugi i četvrti razredi nastavu pohađaju prijepodne, dok prvi i treći razredi  poslije podne. Nastava (redovna, izborna, dopunska, dodatna i fakultativna) se izvodi prema nastavnim planovima i programima, koje je donijelo Ministarstvo znanosti i obrazovanja,   Godišnjem planu i programu rada Škole, te Školskom kurikulumu za školsku godinu 202</w:t>
            </w:r>
            <w:r>
              <w:rPr>
                <w:rFonts w:asciiTheme="majorHAnsi" w:hAnsiTheme="majorHAnsi" w:cstheme="majorHAnsi"/>
                <w:sz w:val="20"/>
                <w:szCs w:val="20"/>
              </w:rPr>
              <w:t xml:space="preserve">2</w:t>
            </w:r>
            <w:r>
              <w:rPr>
                <w:rFonts w:asciiTheme="majorHAnsi" w:hAnsiTheme="majorHAnsi" w:cstheme="majorHAnsi"/>
                <w:sz w:val="20"/>
                <w:szCs w:val="20"/>
              </w:rPr>
              <w:t xml:space="preserve">./202</w:t>
            </w:r>
            <w:r>
              <w:rPr>
                <w:rFonts w:asciiTheme="majorHAnsi" w:hAnsiTheme="majorHAnsi" w:cstheme="majorHAnsi"/>
                <w:sz w:val="20"/>
                <w:szCs w:val="20"/>
              </w:rPr>
              <w:t xml:space="preserve">3</w:t>
            </w:r>
            <w:r>
              <w:rPr>
                <w:rFonts w:asciiTheme="majorHAnsi" w:hAnsiTheme="majorHAnsi" w:cstheme="majorHAnsi"/>
                <w:sz w:val="20"/>
                <w:szCs w:val="20"/>
              </w:rPr>
              <w:t xml:space="preserve">. Škola broji 3</w:t>
            </w:r>
            <w:r>
              <w:rPr>
                <w:rFonts w:asciiTheme="majorHAnsi" w:hAnsiTheme="majorHAnsi" w:cstheme="majorHAnsi"/>
                <w:sz w:val="20"/>
                <w:szCs w:val="20"/>
              </w:rPr>
              <w:t xml:space="preserve">28</w:t>
            </w:r>
            <w:r>
              <w:rPr>
                <w:rFonts w:asciiTheme="majorHAnsi" w:hAnsiTheme="majorHAnsi" w:cstheme="majorHAnsi"/>
                <w:sz w:val="20"/>
                <w:szCs w:val="20"/>
              </w:rPr>
              <w:t xml:space="preserve"> učenika i ima 16 razrednih odjela. Planiramo da se i sljedeće školske godine 202</w:t>
            </w:r>
            <w:r>
              <w:rPr>
                <w:rFonts w:asciiTheme="majorHAnsi" w:hAnsiTheme="majorHAnsi" w:cstheme="majorHAnsi"/>
                <w:sz w:val="20"/>
                <w:szCs w:val="20"/>
              </w:rPr>
              <w:t xml:space="preserve">3</w:t>
            </w:r>
            <w:r>
              <w:rPr>
                <w:rFonts w:asciiTheme="majorHAnsi" w:hAnsiTheme="majorHAnsi" w:cstheme="majorHAnsi"/>
                <w:sz w:val="20"/>
                <w:szCs w:val="20"/>
              </w:rPr>
              <w:t xml:space="preserve">./202</w:t>
            </w:r>
            <w:r>
              <w:rPr>
                <w:rFonts w:asciiTheme="majorHAnsi" w:hAnsiTheme="majorHAnsi" w:cstheme="majorHAnsi"/>
                <w:sz w:val="20"/>
                <w:szCs w:val="20"/>
              </w:rPr>
              <w:t xml:space="preserve">4</w:t>
            </w:r>
            <w:r>
              <w:rPr>
                <w:rFonts w:asciiTheme="majorHAnsi" w:hAnsiTheme="majorHAnsi" w:cstheme="majorHAnsi"/>
                <w:sz w:val="20"/>
                <w:szCs w:val="20"/>
              </w:rPr>
              <w:t xml:space="preserve">.  nastava odvija u 16 razrednih odjela te da se broj učenika neće smanjiti.</w:t>
            </w:r>
          </w:p>
          <w:p>
            <w:pPr>
              <w:spacing/>
              <w:jc w:val="both"/>
              <w:rPr>
                <w:rFonts w:asciiTheme="majorHAnsi" w:hAnsiTheme="majorHAnsi" w:cstheme="majorHAnsi"/>
                <w:i/>
                <w:sz w:val="20"/>
                <w:szCs w:val="20"/>
              </w:rPr>
            </w:pPr>
            <w:bookmarkStart w:id="4" w:name="_Hlk84402559"/>
            <w:r>
              <w:rPr>
                <w:rFonts w:asciiTheme="majorHAnsi" w:hAnsiTheme="majorHAnsi" w:cstheme="majorHAnsi"/>
                <w:sz w:val="20"/>
                <w:szCs w:val="20"/>
              </w:rPr>
              <w:t xml:space="preserve">Redovni program odgoja i obrazovanja financira se po modelu propisanom od strane nadležnog Ministarstva i Županije kao osnivača Škole, kao i iz sredstava od participacije učenika u troškovima školovanja sukladno </w:t>
            </w:r>
            <w:r>
              <w:rPr>
                <w:rFonts w:asciiTheme="majorHAnsi" w:hAnsiTheme="majorHAnsi" w:cstheme="majorHAnsi"/>
                <w:i/>
                <w:sz w:val="20"/>
                <w:szCs w:val="20"/>
              </w:rPr>
              <w:t xml:space="preserve">Zakonu o umjetničkom obrazovanju.</w:t>
            </w:r>
            <w:bookmarkEnd w:id="4"/>
          </w:p>
          <w:p>
            <w:pPr>
              <w:spacing/>
              <w:rPr>
                <w:rFonts w:asciiTheme="majorHAnsi" w:hAnsiTheme="majorHAnsi" w:cstheme="majorHAnsi"/>
                <w:sz w:val="20"/>
                <w:szCs w:val="20"/>
              </w:rPr>
            </w:pPr>
            <w:r>
              <w:rPr>
                <w:rFonts w:asciiTheme="majorHAnsi" w:hAnsiTheme="majorHAnsi" w:cstheme="majorHAnsi"/>
                <w:sz w:val="20"/>
                <w:szCs w:val="20"/>
              </w:rPr>
              <w:t xml:space="preserve">Pr</w:t>
            </w:r>
            <w:r>
              <w:rPr>
                <w:rFonts w:asciiTheme="majorHAnsi" w:hAnsiTheme="majorHAnsi" w:cstheme="majorHAnsi"/>
                <w:sz w:val="20"/>
                <w:szCs w:val="20"/>
              </w:rPr>
              <w:t xml:space="preserve">egled financijskih sredstava po programima </w:t>
            </w:r>
          </w:p>
          <w:tbl>
            <w:tblPr>
              <w:tblW w:w="74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8"/>
              <w:gridCol w:w="3520"/>
              <w:gridCol w:w="1300"/>
              <w:gridCol w:w="1027"/>
              <w:gridCol w:w="1134"/>
            </w:tblGrid>
            <w:tr>
              <w:trPr>
                <w:trHeight w:val="555" w:hRule="atLeast"/>
              </w:trPr>
              <w:tc>
                <w:tcPr>
                  <w:tcW w:type="dxa" w:w="420"/>
                  <w:tcBorders>
                    <w:top w:val="single" w:color="auto" w:sz="4" w:space="0"/>
                    <w:left w:val="single" w:color="auto" w:sz="4" w:space="0"/>
                    <w:bottom w:val="single" w:color="auto" w:sz="4" w:space="0"/>
                    <w:right w:val="single" w:color="auto" w:sz="4" w:space="0"/>
                  </w:tcBorders>
                  <w:shd w:fill="D9D9D9" w:color="000000" w:val="clear"/>
                  <w:noWrap/>
                  <w:hideMark/>
                  <w:vAlign w:val="center"/>
                </w:tcPr>
                <w:p>
                  <w:pPr>
                    <w:spacing/>
                    <w:jc w:val="center"/>
                    <w:rPr>
                      <w:rFonts w:asciiTheme="majorHAnsi" w:hAnsiTheme="majorHAnsi" w:cstheme="majorHAnsi"/>
                      <w:sz w:val="16"/>
                      <w:szCs w:val="16"/>
                      <w:lang w:eastAsia="hr-HR"/>
                    </w:rPr>
                  </w:pPr>
                  <w:r>
                    <w:rPr>
                      <w:rFonts w:asciiTheme="majorHAnsi" w:hAnsiTheme="majorHAnsi" w:cstheme="majorHAnsi"/>
                      <w:sz w:val="16"/>
                      <w:szCs w:val="16"/>
                      <w:lang w:eastAsia="hr-HR"/>
                    </w:rPr>
                    <w:t xml:space="preserve">R.br.</w:t>
                  </w:r>
                </w:p>
              </w:tc>
              <w:tc>
                <w:tcPr>
                  <w:tcW w:type="dxa" w:w="3520"/>
                  <w:tcBorders>
                    <w:top w:val="single" w:color="auto" w:sz="4" w:space="0"/>
                    <w:left w:val="single" w:color="auto" w:sz="4" w:space="0"/>
                    <w:bottom w:val="single" w:color="auto" w:sz="4" w:space="0"/>
                    <w:right w:val="single" w:color="auto" w:sz="4" w:space="0"/>
                  </w:tcBorders>
                  <w:shd w:fill="D9D9D9" w:color="000000" w:val="clear"/>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 Naziv programa </w:t>
                  </w:r>
                </w:p>
              </w:tc>
              <w:tc>
                <w:tcPr>
                  <w:tcW w:type="dxa" w:w="1300"/>
                  <w:tcBorders>
                    <w:top w:val="single" w:color="000000" w:sz="4" w:space="0"/>
                    <w:left w:val="single" w:color="000000" w:sz="4" w:space="0"/>
                    <w:bottom w:val="single" w:color="000000" w:sz="4" w:space="0"/>
                    <w:right w:val="single" w:color="000000" w:sz="4" w:space="0"/>
                  </w:tcBorders>
                  <w:shd w:fill="D9D9D9" w:color="000000" w:val="clear"/>
                  <w:noWrap/>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Plan za 2023.</w:t>
                  </w:r>
                </w:p>
              </w:tc>
              <w:tc>
                <w:tcPr>
                  <w:tcW w:type="dxa" w:w="1027"/>
                  <w:tcBorders>
                    <w:top w:val="single" w:color="000000" w:sz="4" w:space="0"/>
                    <w:left w:val="nil"/>
                    <w:bottom w:val="single" w:color="000000" w:sz="4" w:space="0"/>
                    <w:right w:val="single" w:color="000000" w:sz="4" w:space="0"/>
                  </w:tcBorders>
                  <w:shd w:fill="D9D9D9" w:color="000000" w:val="clear"/>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Povećanje/ Smanjenje</w:t>
                  </w:r>
                </w:p>
              </w:tc>
              <w:tc>
                <w:tcPr>
                  <w:tcW w:type="dxa" w:w="1134"/>
                  <w:tcBorders>
                    <w:top w:val="single" w:color="000000" w:sz="4" w:space="0"/>
                    <w:left w:val="nil"/>
                    <w:bottom w:val="single" w:color="000000" w:sz="4" w:space="0"/>
                    <w:right w:val="single" w:color="000000" w:sz="4" w:space="0"/>
                  </w:tcBorders>
                  <w:shd w:fill="D9D9D9" w:color="000000" w:val="clear"/>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Novi plan 2023.</w:t>
                  </w:r>
                </w:p>
              </w:tc>
            </w:tr>
            <w:tr>
              <w:trPr>
                <w:trHeight w:val="390" w:hRule="atLeast"/>
              </w:trPr>
              <w:tc>
                <w:tcPr>
                  <w:tcW w:type="dxa" w:w="42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1.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1207 RAZVOJ ODGOJNO-OBRAZOVNOG SUSTAVA </w:t>
                  </w:r>
                </w:p>
              </w:tc>
              <w:tc>
                <w:tcPr>
                  <w:tcW w:type="dxa" w:w="130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4.013,00</w:t>
                  </w:r>
                </w:p>
              </w:tc>
              <w:tc>
                <w:tcPr>
                  <w:tcW w:type="dxa" w:w="1027"/>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w:t>
                  </w:r>
                  <w:r>
                    <w:rPr>
                      <w:rFonts w:asciiTheme="majorHAnsi" w:hAnsiTheme="majorHAnsi" w:cstheme="majorHAnsi"/>
                      <w:sz w:val="16"/>
                      <w:szCs w:val="16"/>
                      <w:lang w:eastAsia="hr-HR"/>
                    </w:rPr>
                    <w:t xml:space="preserve">998</w:t>
                  </w:r>
                  <w:r>
                    <w:rPr>
                      <w:rFonts w:asciiTheme="majorHAnsi" w:hAnsiTheme="majorHAnsi" w:cstheme="majorHAnsi"/>
                      <w:sz w:val="16"/>
                      <w:szCs w:val="16"/>
                      <w:lang w:eastAsia="hr-HR"/>
                    </w:rPr>
                    <w:t xml:space="preserve">,00</w:t>
                  </w:r>
                </w:p>
              </w:tc>
              <w:tc>
                <w:tcPr>
                  <w:tcW w:type="dxa" w:w="1134"/>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6.011</w:t>
                  </w:r>
                  <w:r>
                    <w:rPr>
                      <w:rFonts w:asciiTheme="majorHAnsi" w:hAnsiTheme="majorHAnsi" w:cstheme="majorHAnsi"/>
                      <w:sz w:val="16"/>
                      <w:szCs w:val="16"/>
                      <w:lang w:eastAsia="hr-HR"/>
                    </w:rPr>
                    <w:t xml:space="preserve">,00</w:t>
                  </w:r>
                </w:p>
              </w:tc>
            </w:tr>
            <w:tr>
              <w:trPr>
                <w:trHeight w:val="450" w:hRule="atLeast"/>
              </w:trPr>
              <w:tc>
                <w:tcPr>
                  <w:tcW w:type="dxa" w:w="42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2.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7007 FINANCIRANJE SREDNJEG ŠKOLSTVA PREMA MINIMALNOM STANDARDU </w:t>
                  </w:r>
                </w:p>
              </w:tc>
              <w:tc>
                <w:tcPr>
                  <w:tcW w:type="dxa" w:w="130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145.360,00</w:t>
                  </w:r>
                </w:p>
              </w:tc>
              <w:tc>
                <w:tcPr>
                  <w:tcW w:type="dxa" w:w="1027"/>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11.547,00</w:t>
                  </w:r>
                </w:p>
              </w:tc>
              <w:tc>
                <w:tcPr>
                  <w:tcW w:type="dxa" w:w="1134"/>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156.907,00</w:t>
                  </w:r>
                </w:p>
              </w:tc>
            </w:tr>
            <w:tr>
              <w:trPr>
                <w:trHeight w:val="633" w:hRule="atLeast"/>
              </w:trPr>
              <w:tc>
                <w:tcPr>
                  <w:tcW w:type="dxa" w:w="42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3.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7011 FINANCIRANJE ŠKOLSTVA IZVAN ŽUPANIJSKOG PRORAČUNA </w:t>
                  </w:r>
                </w:p>
              </w:tc>
              <w:tc>
                <w:tcPr>
                  <w:tcW w:type="dxa" w:w="130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1.293.071,00</w:t>
                  </w:r>
                </w:p>
              </w:tc>
              <w:tc>
                <w:tcPr>
                  <w:tcW w:type="dxa" w:w="1027"/>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149.245,00</w:t>
                  </w:r>
                </w:p>
              </w:tc>
              <w:tc>
                <w:tcPr>
                  <w:tcW w:type="dxa" w:w="1134"/>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1.442.316,00</w:t>
                  </w:r>
                </w:p>
              </w:tc>
            </w:tr>
            <w:tr>
              <w:trPr>
                <w:trHeight w:val="435" w:hRule="atLeast"/>
              </w:trPr>
              <w:tc>
                <w:tcPr>
                  <w:tcW w:type="dxa" w:w="420"/>
                  <w:tcBorders>
                    <w:top w:val="nil"/>
                    <w:left w:val="single" w:color="auto" w:sz="4" w:space="0"/>
                    <w:bottom w:val="single" w:color="auto" w:sz="4" w:space="0"/>
                    <w:right w:val="single" w:color="auto" w:sz="4" w:space="0"/>
                  </w:tcBorders>
                  <w:shd w:fill="auto" w:color="auto" w:val="clear"/>
                  <w:noWrap/>
                  <w:hideMark/>
                  <w:vAlign w:val="center"/>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w:t>
                  </w:r>
                </w:p>
              </w:tc>
              <w:tc>
                <w:tcPr>
                  <w:tcW w:type="dxa" w:w="3520"/>
                  <w:tcBorders>
                    <w:top w:val="nil"/>
                    <w:left w:val="nil"/>
                    <w:bottom w:val="single" w:color="auto" w:sz="4" w:space="0"/>
                    <w:right w:val="single" w:color="auto" w:sz="4" w:space="0"/>
                  </w:tcBorders>
                  <w:shd w:fill="auto" w:color="auto" w:val="clear"/>
                  <w:noWrap/>
                  <w:hideMark/>
                  <w:vAlign w:val="center"/>
                </w:tcPr>
                <w:p>
                  <w:pPr>
                    <w:spacing/>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 Sveukupno </w:t>
                  </w:r>
                </w:p>
              </w:tc>
              <w:tc>
                <w:tcPr>
                  <w:tcW w:type="dxa" w:w="1300"/>
                  <w:tcBorders>
                    <w:top w:val="nil"/>
                    <w:left w:val="single" w:color="auto" w:sz="4" w:space="0"/>
                    <w:bottom w:val="single" w:color="auto" w:sz="4" w:space="0"/>
                    <w:right w:val="single" w:color="auto" w:sz="4" w:space="0"/>
                  </w:tcBorders>
                  <w:shd w:fill="auto" w:color="auto" w:val="clear"/>
                  <w:noWrap/>
                  <w:hideMark/>
                  <w:vAlign w:val="center"/>
                </w:tcPr>
                <w:p>
                  <w:pPr>
                    <w:spacing/>
                    <w:jc w:val="right"/>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1</w:t>
                  </w:r>
                  <w:r>
                    <w:rPr>
                      <w:rFonts w:asciiTheme="majorHAnsi" w:hAnsiTheme="majorHAnsi" w:cstheme="majorHAnsi"/>
                      <w:b/>
                      <w:bCs/>
                      <w:sz w:val="16"/>
                      <w:szCs w:val="16"/>
                      <w:lang w:eastAsia="hr-HR"/>
                    </w:rPr>
                    <w:t xml:space="preserve">.</w:t>
                  </w:r>
                  <w:r>
                    <w:rPr>
                      <w:rFonts w:asciiTheme="majorHAnsi" w:hAnsiTheme="majorHAnsi" w:cstheme="majorHAnsi"/>
                      <w:b/>
                      <w:bCs/>
                      <w:sz w:val="16"/>
                      <w:szCs w:val="16"/>
                      <w:lang w:eastAsia="hr-HR"/>
                    </w:rPr>
                    <w:t xml:space="preserve">442.444</w:t>
                  </w:r>
                  <w:r>
                    <w:rPr>
                      <w:rFonts w:asciiTheme="majorHAnsi" w:hAnsiTheme="majorHAnsi" w:cstheme="majorHAnsi"/>
                      <w:b/>
                      <w:bCs/>
                      <w:sz w:val="16"/>
                      <w:szCs w:val="16"/>
                      <w:lang w:eastAsia="hr-HR"/>
                    </w:rPr>
                    <w:t xml:space="preserve">,00</w:t>
                  </w:r>
                </w:p>
              </w:tc>
              <w:tc>
                <w:tcPr>
                  <w:tcW w:type="dxa" w:w="1027"/>
                  <w:tcBorders>
                    <w:top w:val="nil"/>
                    <w:left w:val="nil"/>
                    <w:bottom w:val="single" w:color="auto" w:sz="4" w:space="0"/>
                    <w:right w:val="single" w:color="auto" w:sz="4" w:space="0"/>
                  </w:tcBorders>
                  <w:shd w:fill="auto" w:color="auto" w:val="clear"/>
                  <w:noWrap/>
                  <w:hideMark/>
                  <w:vAlign w:val="center"/>
                </w:tcPr>
                <w:p>
                  <w:pPr>
                    <w:spacing/>
                    <w:jc w:val="right"/>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162.790</w:t>
                  </w:r>
                  <w:r>
                    <w:rPr>
                      <w:rFonts w:asciiTheme="majorHAnsi" w:hAnsiTheme="majorHAnsi" w:cstheme="majorHAnsi"/>
                      <w:b/>
                      <w:bCs/>
                      <w:sz w:val="16"/>
                      <w:szCs w:val="16"/>
                      <w:lang w:eastAsia="hr-HR"/>
                    </w:rPr>
                    <w:t xml:space="preserve">,00</w:t>
                  </w:r>
                </w:p>
              </w:tc>
              <w:tc>
                <w:tcPr>
                  <w:tcW w:type="dxa" w:w="1134"/>
                  <w:tcBorders>
                    <w:top w:val="nil"/>
                    <w:left w:val="nil"/>
                    <w:bottom w:val="single" w:color="auto" w:sz="4" w:space="0"/>
                    <w:right w:val="single" w:color="auto" w:sz="4" w:space="0"/>
                  </w:tcBorders>
                  <w:shd w:fill="auto" w:color="auto" w:val="clear"/>
                  <w:noWrap/>
                  <w:hideMark/>
                  <w:vAlign w:val="center"/>
                </w:tcPr>
                <w:p>
                  <w:pPr>
                    <w:spacing/>
                    <w:jc w:val="right"/>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1.</w:t>
                  </w:r>
                  <w:r>
                    <w:rPr>
                      <w:rFonts w:asciiTheme="majorHAnsi" w:hAnsiTheme="majorHAnsi" w:cstheme="majorHAnsi"/>
                      <w:b/>
                      <w:bCs/>
                      <w:sz w:val="16"/>
                      <w:szCs w:val="16"/>
                      <w:lang w:eastAsia="hr-HR"/>
                    </w:rPr>
                    <w:t xml:space="preserve">605.234,00</w:t>
                  </w:r>
                </w:p>
              </w:tc>
            </w:tr>
          </w:tbl>
          <w:p>
            <w:pPr>
              <w:spacing/>
              <w:rPr>
                <w:rFonts w:asciiTheme="majorHAnsi" w:hAnsiTheme="majorHAnsi" w:cstheme="majorHAnsi"/>
                <w:sz w:val="20"/>
                <w:szCs w:val="20"/>
              </w:rPr>
            </w:pPr>
          </w:p>
        </w:tc>
      </w:tr>
    </w:tbl>
    <w:p w14:paraId="2D6BE4EE">
      <w:pPr>
        <w:spacing/>
        <w:rPr>
          <w:rFonts w:asciiTheme="majorHAnsi" w:hAnsiTheme="majorHAnsi" w:cstheme="majorHAnsi"/>
        </w:rPr>
      </w:pPr>
    </w:p>
    <w:tbl>
      <w:tblPr>
        <w:tblW w:w="9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2"/>
        <w:gridCol w:w="224"/>
        <w:gridCol w:w="7926"/>
      </w:tblGrid>
      <w:tr>
        <w:trPr/>
        <w:tc>
          <w:tcPr>
            <w:tcW w:type="dxa" w:w="2448"/>
            <w:tcBorders>
              <w:top w:val="single" w:color="auto" w:sz="12" w:space="0"/>
              <w:left w:val="single" w:color="auto" w:sz="12" w:space="0"/>
              <w:bottom w:val="single" w:color="auto" w:sz="12" w:space="0"/>
              <w:right w:val="single" w:color="auto" w:sz="12" w:space="0"/>
            </w:tcBorders>
          </w:tcPr>
          <w:p>
            <w:pPr>
              <w:spacing/>
              <w:rPr>
                <w:rFonts w:asciiTheme="majorHAnsi" w:hAnsiTheme="majorHAnsi" w:cstheme="majorHAnsi"/>
                <w:iCs/>
              </w:rPr>
            </w:pPr>
            <w:r>
              <w:rPr>
                <w:rFonts w:asciiTheme="majorHAnsi" w:hAnsiTheme="majorHAnsi" w:cstheme="majorHAnsi"/>
                <w:iCs/>
              </w:rPr>
              <w:t xml:space="preserve">NAZIV PROGRAMA:</w:t>
            </w: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OPIS PROGRAMA, OPĆI I POSEBNI CILJEVI:</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ZAKONSKA OSNOVA ZA UVOĐENJE PROGRAMA:</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2</w:t>
            </w:r>
            <w:r>
              <w:rPr>
                <w:rFonts w:asciiTheme="majorHAnsi" w:hAnsiTheme="majorHAnsi" w:cstheme="majorHAnsi"/>
                <w:bCs/>
              </w:rPr>
              <w:t xml:space="preserve">. REBALANSA FINANCIJSKOG PLANA ZA 2023</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P</w:t>
            </w:r>
            <w:r>
              <w:rPr>
                <w:rFonts w:asciiTheme="majorHAnsi" w:hAnsiTheme="majorHAnsi" w:cstheme="majorHAnsi"/>
                <w:bCs/>
              </w:rPr>
              <w:t xml:space="preserve">OKAZATELJI USPJEŠNOSTI:</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tc>
        <w:tc>
          <w:tcPr>
            <w:tcW w:type="dxa" w:w="236"/>
            <w:tcBorders>
              <w:top w:val="nil"/>
              <w:left w:val="single" w:color="auto" w:sz="12" w:space="0"/>
              <w:bottom w:val="nil"/>
              <w:right w:val="single" w:color="auto" w:sz="12" w:space="0"/>
            </w:tcBorders>
          </w:tcPr>
          <w:p>
            <w:pPr>
              <w:spacing/>
              <w:rPr>
                <w:rFonts w:asciiTheme="majorHAnsi" w:hAnsiTheme="majorHAnsi" w:cstheme="majorHAnsi"/>
              </w:rPr>
            </w:pPr>
          </w:p>
        </w:tc>
        <w:tc>
          <w:tcPr>
            <w:tcW w:type="dxa" w:w="7128"/>
            <w:tcBorders>
              <w:top w:val="single" w:color="auto" w:sz="12" w:space="0"/>
              <w:left w:val="single" w:color="auto" w:sz="12" w:space="0"/>
              <w:bottom w:val="single" w:color="auto" w:sz="12" w:space="0"/>
              <w:right w:val="single" w:color="auto" w:sz="12" w:space="0"/>
            </w:tcBorders>
          </w:tcPr>
          <w:p>
            <w:pPr>
              <w:spacing/>
              <w:rPr>
                <w:rFonts w:asciiTheme="majorHAnsi" w:hAnsiTheme="majorHAnsi" w:cstheme="majorHAnsi"/>
                <w:b/>
                <w:i/>
              </w:rPr>
            </w:pPr>
            <w:r>
              <w:rPr>
                <w:rFonts w:asciiTheme="majorHAnsi" w:hAnsiTheme="majorHAnsi" w:cstheme="majorHAnsi"/>
                <w:b/>
              </w:rPr>
              <w:t xml:space="preserve">7007 FINANCIRANJE SREDNJEG ŠKOLSTVA PREMA MINIMALNOM STANDARDU</w:t>
            </w:r>
          </w:p>
          <w:p>
            <w:pPr>
              <w:spacing/>
              <w:jc w:val="both"/>
              <w:rPr>
                <w:rFonts w:asciiTheme="majorHAnsi" w:hAnsiTheme="majorHAnsi" w:cstheme="majorHAnsi"/>
                <w:i/>
                <w:sz w:val="20"/>
                <w:szCs w:val="20"/>
              </w:rPr>
            </w:pPr>
            <w:r>
              <w:rPr>
                <w:rFonts w:asciiTheme="majorHAnsi" w:hAnsiTheme="majorHAnsi" w:cstheme="majorHAnsi"/>
                <w:i/>
                <w:sz w:val="20"/>
                <w:szCs w:val="20"/>
              </w:rPr>
              <w:t xml:space="preserve">(Daje se opis programa, definira se jedan ili više ciljeva koji će dati jasnu sliku o tome što će proračunski korisnik konkretno postići provođenjem programa)</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Srednjoškolski odgoj i obrazovanje učenika koje se ostvaruje kroz:</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-poticanje i unapređivanje cjelovitog razvoja učenika u skladu s njegovim potrebama, sposobnostima i sklonostima,</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-poticanje za sudjelovanje na sportskim aktivnostima, uključivanje kroz natjecanja na školskoj razini, županijskoj i državnoj razini,</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-stručno usavršavanje nastavnika, sudjelovanje u radu stručnih vijeća i različitih povjerenstava, broj  nastavnika koji napreduju u zvanja,</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-organiziranje zajedničkih aktivnosti učenika i nastavnika,</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-uključivanje učenika u različite oblike rada i aktivnosti kojima se promiče i ostvaruje kreativnost, poduzetnost i inicijativnost.</w:t>
            </w:r>
          </w:p>
          <w:p>
            <w:pPr>
              <w:spacing w:after="0"/>
              <w:jc w:val="both"/>
              <w:rPr>
                <w:rFonts w:asciiTheme="majorHAnsi" w:hAnsiTheme="majorHAnsi" w:cstheme="majorHAnsi"/>
                <w:sz w:val="20"/>
                <w:szCs w:val="20"/>
              </w:rPr>
            </w:pP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Prioritet Škole je kvalitetno obrazovanje i odgoj učenika što </w:t>
            </w:r>
            <w:r>
              <w:rPr>
                <w:rFonts w:asciiTheme="majorHAnsi" w:hAnsiTheme="majorHAnsi" w:cstheme="majorHAnsi"/>
                <w:sz w:val="20"/>
                <w:szCs w:val="20"/>
              </w:rPr>
              <w:t xml:space="preserve">se ostvaruje</w:t>
            </w:r>
            <w:r>
              <w:rPr>
                <w:rFonts w:asciiTheme="majorHAnsi" w:hAnsiTheme="majorHAnsi" w:cstheme="majorHAnsi"/>
                <w:sz w:val="20"/>
                <w:szCs w:val="20"/>
              </w:rPr>
              <w:t xml:space="preserve">:</w:t>
            </w:r>
          </w:p>
          <w:p>
            <w:pPr>
              <w:numPr>
                <w:ilvl w:val="0"/>
                <w:numId w:val="1"/>
              </w:numPr>
              <w:spacing w:after="0"/>
              <w:jc w:val="both"/>
              <w:rPr>
                <w:rFonts w:asciiTheme="majorHAnsi" w:hAnsiTheme="majorHAnsi" w:cstheme="majorHAnsi"/>
                <w:sz w:val="20"/>
                <w:szCs w:val="20"/>
              </w:rPr>
            </w:pPr>
            <w:r>
              <w:rPr>
                <w:rFonts w:asciiTheme="majorHAnsi" w:hAnsiTheme="majorHAnsi" w:cstheme="majorHAnsi"/>
                <w:sz w:val="20"/>
                <w:szCs w:val="20"/>
              </w:rPr>
              <w:t xml:space="preserve">stalnim usavršavanjem nastavnika (stručna predavanja, aktivi, stručni skupovi, seminari) i uzastopnim podizanjem standarda nastavnoga procesa na višu razinu;</w:t>
            </w:r>
          </w:p>
          <w:p>
            <w:pPr>
              <w:numPr>
                <w:ilvl w:val="0"/>
                <w:numId w:val="1"/>
              </w:numPr>
              <w:spacing w:after="0"/>
              <w:jc w:val="both"/>
              <w:rPr>
                <w:rFonts w:asciiTheme="majorHAnsi" w:hAnsiTheme="majorHAnsi" w:cstheme="majorHAnsi"/>
                <w:sz w:val="20"/>
                <w:szCs w:val="20"/>
              </w:rPr>
            </w:pPr>
            <w:r>
              <w:rPr>
                <w:rFonts w:asciiTheme="majorHAnsi" w:hAnsiTheme="majorHAnsi" w:cstheme="majorHAnsi"/>
                <w:sz w:val="20"/>
                <w:szCs w:val="20"/>
              </w:rPr>
              <w:t xml:space="preserve">poticanjem učenika na izražavanje kreativnosti, talenta i sposobnosti kroz uključivanje u izvannastavne aktivnosti, dodatne aktivnosti, natjecanja te druge školske projekte;</w:t>
            </w:r>
          </w:p>
          <w:p>
            <w:pPr>
              <w:numPr>
                <w:ilvl w:val="0"/>
                <w:numId w:val="1"/>
              </w:numPr>
              <w:spacing w:after="0"/>
              <w:jc w:val="both"/>
              <w:rPr>
                <w:rFonts w:asciiTheme="majorHAnsi" w:hAnsiTheme="majorHAnsi" w:cstheme="majorHAnsi"/>
                <w:sz w:val="20"/>
                <w:szCs w:val="20"/>
              </w:rPr>
            </w:pPr>
            <w:r>
              <w:rPr>
                <w:rFonts w:asciiTheme="majorHAnsi" w:hAnsiTheme="majorHAnsi" w:cstheme="majorHAnsi"/>
                <w:sz w:val="20"/>
                <w:szCs w:val="20"/>
              </w:rPr>
              <w:t xml:space="preserve">organiziranjem zajedničkih aktivnosti učenika i nastavnika tijekom izvannastavnih, izvanškolskih aktivnosti i projekata te organiziranom terenskom nastavom kojom učenici upoznaju mogućnosti lokane zajednice i kulturnu baštinu, ali i kulturu, umjetnost i običaje drugih zemalja;</w:t>
            </w:r>
          </w:p>
          <w:p>
            <w:pPr>
              <w:numPr>
                <w:ilvl w:val="0"/>
                <w:numId w:val="1"/>
              </w:numPr>
              <w:spacing w:after="0"/>
              <w:jc w:val="both"/>
              <w:rPr>
                <w:rFonts w:asciiTheme="majorHAnsi" w:hAnsiTheme="majorHAnsi" w:cstheme="majorHAnsi"/>
                <w:sz w:val="20"/>
                <w:szCs w:val="20"/>
              </w:rPr>
            </w:pPr>
            <w:r>
              <w:rPr>
                <w:rFonts w:asciiTheme="majorHAnsi" w:hAnsiTheme="majorHAnsi" w:cstheme="majorHAnsi"/>
                <w:sz w:val="20"/>
                <w:szCs w:val="20"/>
              </w:rPr>
              <w:t xml:space="preserve">poticanjem razvoja pozitivnih vrijednosti kroz volonterski rad i razne humanitarne akcije te natjecateljskoga duha kroz priznanja i nagrade najuspješnijima;</w:t>
            </w:r>
          </w:p>
          <w:p>
            <w:pPr>
              <w:numPr>
                <w:ilvl w:val="0"/>
                <w:numId w:val="1"/>
              </w:numPr>
              <w:spacing w:after="0"/>
              <w:jc w:val="both"/>
              <w:rPr>
                <w:rFonts w:asciiTheme="majorHAnsi" w:hAnsiTheme="majorHAnsi" w:cstheme="majorHAnsi"/>
                <w:sz w:val="20"/>
                <w:szCs w:val="20"/>
              </w:rPr>
            </w:pPr>
            <w:r>
              <w:rPr>
                <w:rFonts w:asciiTheme="majorHAnsi" w:hAnsiTheme="majorHAnsi" w:cstheme="majorHAnsi"/>
                <w:sz w:val="20"/>
                <w:szCs w:val="20"/>
              </w:rPr>
              <w:t xml:space="preserve">poticanjem poduzetničkog duha učenika kroz motiviranje za rad u raznovrsnim radionicama i sekcijama, te plasiranjem gotovih proizvoda i umjetnina u  Učeničku zadrugu LUD.</w:t>
            </w:r>
          </w:p>
          <w:p>
            <w:pPr>
              <w:spacing w:after="0"/>
              <w:ind w:left="780"/>
              <w:jc w:val="both"/>
              <w:rPr>
                <w:rFonts w:asciiTheme="majorHAnsi" w:hAnsiTheme="majorHAnsi" w:cstheme="majorHAnsi"/>
                <w:sz w:val="20"/>
                <w:szCs w:val="20"/>
              </w:rPr>
            </w:pP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Kroz sredstva programa 7007 Financiranje srednjeg školstva prema minimalnom standardu cilj je financirati sve režijske troškove i troškove održavanja objekta (zgrada škole i dvorana), usavršavati djelatnike za podizanje kvalitete nastave, osigurati sav potreban uredski materijal, zdravstvene preglede radnika i sl. </w:t>
            </w:r>
          </w:p>
          <w:p>
            <w:pPr>
              <w:spacing w:after="0"/>
              <w:jc w:val="both"/>
              <w:rPr>
                <w:rFonts w:asciiTheme="majorHAnsi" w:hAnsiTheme="majorHAnsi" w:cstheme="majorHAnsi"/>
              </w:rPr>
            </w:pPr>
          </w:p>
          <w:p>
            <w:pPr>
              <w:spacing w:after="0"/>
              <w:jc w:val="both"/>
              <w:rPr>
                <w:rFonts w:asciiTheme="majorHAnsi" w:hAnsiTheme="majorHAnsi" w:cstheme="majorHAnsi"/>
              </w:rPr>
            </w:pP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odgoju i obrazovanju u osnovnoj i srednjoj školi (Narodne novine , br. 87/08, 86/09, 92/10, 105/11, 90/11, 5/12, 16/12, 86/12, 126/12, 94/13, 152/14, 7/17, 68/18, 98/19, 64/20. </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ustanovama (Narodne novine br. 76/93, 29/97, 47/99, 35/08, 127/19).</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proračunu (Narodne novine broj </w:t>
            </w:r>
            <w:r>
              <w:rPr>
                <w:rFonts w:asciiTheme="majorHAnsi" w:hAnsiTheme="majorHAnsi" w:cstheme="majorHAnsi"/>
                <w:sz w:val="20"/>
                <w:szCs w:val="20"/>
              </w:rPr>
              <w:t xml:space="preserve">144/21</w:t>
            </w:r>
            <w:r>
              <w:rPr>
                <w:rFonts w:asciiTheme="majorHAnsi" w:hAnsiTheme="majorHAnsi" w:cstheme="majorHAnsi"/>
                <w:sz w:val="20"/>
                <w:szCs w:val="20"/>
              </w:rPr>
              <w:t xml:space="preserve">), Pravilnik o proračunskim klasifikacijama (Narodne novine broj 26/10, 120/13 i 001/20), Pravilnik o proračunskom računovodstvu i računskom planu (Narodne novine broj 124/14, 115/15, 87/16, 003/18, 126/19 i 108/20), Zakon o fiskalnoj odgovornosti (Narodne novine broj 111/18)</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Uputa za izradu proračuna Osječko-baranjske županije 2023.-2025.</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Godišnji plan i program rada za školsku godinu 2022./2023.</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Školski kurikulum Škole primijenjene umjetnost i dizajna za školsku godinu 2022./2023.</w:t>
            </w:r>
          </w:p>
          <w:p>
            <w:pPr>
              <w:spacing w:after="0"/>
              <w:rPr>
                <w:rFonts w:asciiTheme="majorHAnsi" w:hAnsiTheme="majorHAnsi" w:cstheme="majorHAnsi"/>
                <w:i/>
                <w:sz w:val="20"/>
                <w:szCs w:val="20"/>
              </w:rPr>
            </w:pPr>
          </w:p>
          <w:p>
            <w:pPr>
              <w:spacing/>
              <w:rPr>
                <w:rFonts w:asciiTheme="majorHAnsi" w:hAnsiTheme="majorHAnsi" w:cstheme="majorHAnsi"/>
                <w:i/>
                <w:sz w:val="20"/>
                <w:szCs w:val="20"/>
              </w:rPr>
            </w:pPr>
            <w:r>
              <w:rPr>
                <w:rFonts w:asciiTheme="majorHAnsi" w:hAnsiTheme="majorHAnsi" w:cstheme="majorHAnsi"/>
                <w:i/>
                <w:sz w:val="20"/>
                <w:szCs w:val="20"/>
              </w:rPr>
              <w:t xml:space="preserve">Pregled potrebnih</w:t>
            </w:r>
            <w:r>
              <w:rPr>
                <w:rFonts w:asciiTheme="majorHAnsi" w:hAnsiTheme="majorHAnsi" w:cstheme="majorHAnsi"/>
                <w:i/>
                <w:sz w:val="20"/>
                <w:szCs w:val="20"/>
              </w:rPr>
              <w:t xml:space="preserve"> sredstva za provedbu programa</w:t>
            </w:r>
            <w:r>
              <w:rPr>
                <w:rFonts w:asciiTheme="majorHAnsi" w:hAnsiTheme="majorHAnsi" w:cstheme="majorHAnsi"/>
                <w:i/>
                <w:sz w:val="20"/>
                <w:szCs w:val="20"/>
              </w:rPr>
              <w:t xml:space="preserve">:</w:t>
            </w:r>
          </w:p>
          <w:tbl>
            <w:tblPr>
              <w:tblW w:w="7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8"/>
              <w:gridCol w:w="3442"/>
              <w:gridCol w:w="1200"/>
              <w:gridCol w:w="1300"/>
              <w:gridCol w:w="1240"/>
            </w:tblGrid>
            <w:tr>
              <w:trPr>
                <w:trHeight w:val="495" w:hRule="atLeast"/>
              </w:trPr>
              <w:tc>
                <w:tcPr>
                  <w:tcW w:type="dxa" w:w="440"/>
                  <w:tcBorders>
                    <w:top w:val="single" w:color="auto" w:sz="4" w:space="0"/>
                    <w:left w:val="single" w:color="auto" w:sz="4" w:space="0"/>
                    <w:bottom w:val="single" w:color="auto" w:sz="4" w:space="0"/>
                    <w:right w:val="single" w:color="auto" w:sz="4" w:space="0"/>
                  </w:tcBorders>
                  <w:shd w:fill="D9D9D9" w:color="000000" w:val="clear"/>
                  <w:noWrap/>
                  <w:hideMark/>
                  <w:vAlign w:val="center"/>
                </w:tcPr>
                <w:p>
                  <w:pPr>
                    <w:spacing/>
                    <w:jc w:val="center"/>
                    <w:rPr>
                      <w:rFonts w:asciiTheme="majorHAnsi" w:hAnsiTheme="majorHAnsi" w:cstheme="majorHAnsi"/>
                      <w:sz w:val="16"/>
                      <w:szCs w:val="16"/>
                      <w:lang w:eastAsia="hr-HR"/>
                    </w:rPr>
                  </w:pPr>
                  <w:r>
                    <w:rPr>
                      <w:rFonts w:asciiTheme="majorHAnsi" w:hAnsiTheme="majorHAnsi" w:cstheme="majorHAnsi"/>
                      <w:sz w:val="16"/>
                      <w:szCs w:val="16"/>
                      <w:lang w:eastAsia="hr-HR"/>
                    </w:rPr>
                    <w:t xml:space="preserve">R.br.</w:t>
                  </w:r>
                </w:p>
              </w:tc>
              <w:tc>
                <w:tcPr>
                  <w:tcW w:type="dxa" w:w="3520"/>
                  <w:tcBorders>
                    <w:top w:val="single" w:color="auto" w:sz="4" w:space="0"/>
                    <w:left w:val="nil"/>
                    <w:bottom w:val="single" w:color="auto" w:sz="4" w:space="0"/>
                    <w:right w:val="single" w:color="auto" w:sz="4" w:space="0"/>
                  </w:tcBorders>
                  <w:shd w:fill="D0CECE" w:color="000000" w:val="clear"/>
                  <w:hideMark/>
                </w:tcPr>
                <w:p>
                  <w:pPr>
                    <w:spacing/>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 Naziv aktivnosti/projekta </w:t>
                  </w:r>
                </w:p>
              </w:tc>
              <w:tc>
                <w:tcPr>
                  <w:tcW w:type="dxa" w:w="1200"/>
                  <w:tcBorders>
                    <w:top w:val="single" w:color="000000" w:sz="4" w:space="0"/>
                    <w:left w:val="nil"/>
                    <w:bottom w:val="single" w:color="000000" w:sz="4" w:space="0"/>
                    <w:right w:val="single" w:color="000000" w:sz="4" w:space="0"/>
                  </w:tcBorders>
                  <w:shd w:fill="D9D9D9" w:color="000000" w:val="clear"/>
                  <w:noWrap/>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Plan za 2023.</w:t>
                  </w:r>
                </w:p>
              </w:tc>
              <w:tc>
                <w:tcPr>
                  <w:tcW w:type="dxa" w:w="1300"/>
                  <w:tcBorders>
                    <w:top w:val="single" w:color="000000" w:sz="4" w:space="0"/>
                    <w:left w:val="nil"/>
                    <w:bottom w:val="single" w:color="000000" w:sz="4" w:space="0"/>
                    <w:right w:val="single" w:color="000000" w:sz="4" w:space="0"/>
                  </w:tcBorders>
                  <w:shd w:fill="D9D9D9" w:color="000000" w:val="clear"/>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Povećanje/ Smanjenje</w:t>
                  </w:r>
                </w:p>
              </w:tc>
              <w:tc>
                <w:tcPr>
                  <w:tcW w:type="dxa" w:w="1240"/>
                  <w:tcBorders>
                    <w:top w:val="single" w:color="000000" w:sz="4" w:space="0"/>
                    <w:left w:val="nil"/>
                    <w:bottom w:val="single" w:color="000000" w:sz="4" w:space="0"/>
                    <w:right w:val="single" w:color="000000" w:sz="4" w:space="0"/>
                  </w:tcBorders>
                  <w:shd w:fill="D9D9D9" w:color="000000" w:val="clear"/>
                  <w:hideMark/>
                  <w:vAlign w:val="center"/>
                </w:tcPr>
                <w:p>
                  <w:pPr>
                    <w:spacing/>
                    <w:jc w:val="center"/>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Novi plan 2023.</w:t>
                  </w:r>
                </w:p>
              </w:tc>
            </w:tr>
            <w:tr>
              <w:trPr>
                <w:trHeight w:val="480" w:hRule="atLeast"/>
              </w:trPr>
              <w:tc>
                <w:tcPr>
                  <w:tcW w:type="dxa" w:w="44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1.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K7007 08 IZGRADNJA, REKONSTRUKCIJA I OPREMANJE OBJEKATA SREDNJEG ŠKOLSTVA </w:t>
                  </w:r>
                </w:p>
              </w:tc>
              <w:tc>
                <w:tcPr>
                  <w:tcW w:type="dxa" w:w="1200"/>
                  <w:tcBorders>
                    <w:top w:val="nil"/>
                    <w:left w:val="nil"/>
                    <w:bottom w:val="single" w:color="auto" w:sz="4" w:space="0"/>
                    <w:right w:val="single" w:color="auto" w:sz="4" w:space="0"/>
                  </w:tcBorders>
                  <w:shd w:fill="auto" w:color="auto" w:val="clear"/>
                  <w:noWrap/>
                  <w:hideMark/>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1.327,00</w:t>
                  </w:r>
                </w:p>
              </w:tc>
              <w:tc>
                <w:tcPr>
                  <w:tcW w:type="dxa" w:w="1300"/>
                  <w:tcBorders>
                    <w:top w:val="nil"/>
                    <w:left w:val="nil"/>
                    <w:bottom w:val="single" w:color="auto" w:sz="4" w:space="0"/>
                    <w:right w:val="single" w:color="auto" w:sz="4" w:space="0"/>
                  </w:tcBorders>
                  <w:shd w:fill="auto" w:color="auto" w:val="clear"/>
                  <w:noWrap/>
                  <w:hideMark/>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0,00</w:t>
                  </w:r>
                </w:p>
              </w:tc>
              <w:tc>
                <w:tcPr>
                  <w:tcW w:type="dxa" w:w="1240"/>
                  <w:tcBorders>
                    <w:top w:val="nil"/>
                    <w:left w:val="nil"/>
                    <w:bottom w:val="single" w:color="auto" w:sz="4" w:space="0"/>
                    <w:right w:val="single" w:color="auto" w:sz="4" w:space="0"/>
                  </w:tcBorders>
                  <w:shd w:fill="auto" w:color="auto" w:val="clear"/>
                  <w:noWrap/>
                  <w:hideMark/>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1.327,00</w:t>
                  </w:r>
                </w:p>
              </w:tc>
            </w:tr>
            <w:tr>
              <w:trPr>
                <w:trHeight w:val="495" w:hRule="atLeast"/>
              </w:trPr>
              <w:tc>
                <w:tcPr>
                  <w:tcW w:type="dxa" w:w="44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2.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A7007 05 FINANCIRANJE OPĆIH TROŠKOVA SREDNJEG ŠKOLSTVA </w:t>
                  </w:r>
                </w:p>
              </w:tc>
              <w:tc>
                <w:tcPr>
                  <w:tcW w:type="dxa" w:w="1200"/>
                  <w:tcBorders>
                    <w:top w:val="nil"/>
                    <w:left w:val="nil"/>
                    <w:bottom w:val="single" w:color="auto" w:sz="4" w:space="0"/>
                    <w:right w:val="single" w:color="auto" w:sz="4" w:space="0"/>
                  </w:tcBorders>
                  <w:shd w:fill="auto" w:color="auto" w:val="clear"/>
                  <w:noWrap/>
                  <w:hideMark/>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22.</w:t>
                  </w:r>
                  <w:r>
                    <w:rPr>
                      <w:rFonts w:asciiTheme="majorHAnsi" w:hAnsiTheme="majorHAnsi" w:cstheme="majorHAnsi"/>
                      <w:sz w:val="16"/>
                      <w:szCs w:val="16"/>
                      <w:lang w:eastAsia="hr-HR"/>
                    </w:rPr>
                    <w:t xml:space="preserve">470</w:t>
                  </w:r>
                  <w:r>
                    <w:rPr>
                      <w:rFonts w:asciiTheme="majorHAnsi" w:hAnsiTheme="majorHAnsi" w:cstheme="majorHAnsi"/>
                      <w:sz w:val="16"/>
                      <w:szCs w:val="16"/>
                      <w:lang w:eastAsia="hr-HR"/>
                    </w:rPr>
                    <w:t xml:space="preserve">,00</w:t>
                  </w:r>
                </w:p>
              </w:tc>
              <w:tc>
                <w:tcPr>
                  <w:tcW w:type="dxa" w:w="130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3.000,00</w:t>
                  </w:r>
                </w:p>
              </w:tc>
              <w:tc>
                <w:tcPr>
                  <w:tcW w:type="dxa" w:w="124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25.470,00</w:t>
                  </w:r>
                </w:p>
              </w:tc>
            </w:tr>
            <w:tr>
              <w:trPr>
                <w:trHeight w:val="510" w:hRule="atLeast"/>
              </w:trPr>
              <w:tc>
                <w:tcPr>
                  <w:tcW w:type="dxa" w:w="44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3.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sz w:val="16"/>
                      <w:szCs w:val="16"/>
                      <w:lang w:eastAsia="hr-HR"/>
                    </w:rPr>
                  </w:pPr>
                  <w:r>
                    <w:rPr>
                      <w:rFonts w:asciiTheme="majorHAnsi" w:hAnsiTheme="majorHAnsi" w:cstheme="majorHAnsi"/>
                      <w:sz w:val="16"/>
                      <w:szCs w:val="16"/>
                      <w:lang w:eastAsia="hr-HR"/>
                    </w:rPr>
                    <w:t xml:space="preserve"> A7007 06 FINANCIRANJE STVARNIH TROŠKOVA SREDNJEG ŠKOLSTVA </w:t>
                  </w:r>
                </w:p>
              </w:tc>
              <w:tc>
                <w:tcPr>
                  <w:tcW w:type="dxa" w:w="1200"/>
                  <w:tcBorders>
                    <w:top w:val="nil"/>
                    <w:left w:val="nil"/>
                    <w:bottom w:val="single" w:color="auto" w:sz="4" w:space="0"/>
                    <w:right w:val="single" w:color="auto" w:sz="4" w:space="0"/>
                  </w:tcBorders>
                  <w:shd w:fill="auto" w:color="auto" w:val="clear"/>
                  <w:noWrap/>
                  <w:hideMark/>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121.563</w:t>
                  </w:r>
                  <w:r>
                    <w:rPr>
                      <w:rFonts w:asciiTheme="majorHAnsi" w:hAnsiTheme="majorHAnsi" w:cstheme="majorHAnsi"/>
                      <w:sz w:val="16"/>
                      <w:szCs w:val="16"/>
                      <w:lang w:eastAsia="hr-HR"/>
                    </w:rPr>
                    <w:t xml:space="preserve">,00</w:t>
                  </w:r>
                </w:p>
              </w:tc>
              <w:tc>
                <w:tcPr>
                  <w:tcW w:type="dxa" w:w="130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8.547,00</w:t>
                  </w:r>
                </w:p>
              </w:tc>
              <w:tc>
                <w:tcPr>
                  <w:tcW w:type="dxa" w:w="124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sz w:val="16"/>
                      <w:szCs w:val="16"/>
                      <w:lang w:eastAsia="hr-HR"/>
                    </w:rPr>
                  </w:pPr>
                  <w:r>
                    <w:rPr>
                      <w:rFonts w:asciiTheme="majorHAnsi" w:hAnsiTheme="majorHAnsi" w:cstheme="majorHAnsi"/>
                      <w:sz w:val="16"/>
                      <w:szCs w:val="16"/>
                      <w:lang w:eastAsia="hr-HR"/>
                    </w:rPr>
                    <w:t xml:space="preserve">130.110,00</w:t>
                  </w:r>
                </w:p>
              </w:tc>
            </w:tr>
            <w:tr>
              <w:trPr>
                <w:trHeight w:val="480" w:hRule="atLeast"/>
              </w:trPr>
              <w:tc>
                <w:tcPr>
                  <w:tcW w:type="dxa" w:w="440"/>
                  <w:tcBorders>
                    <w:top w:val="nil"/>
                    <w:left w:val="single" w:color="auto" w:sz="4" w:space="0"/>
                    <w:bottom w:val="single" w:color="auto" w:sz="4" w:space="0"/>
                    <w:right w:val="single" w:color="auto" w:sz="4" w:space="0"/>
                  </w:tcBorders>
                  <w:shd w:fill="auto" w:color="auto" w:val="clear"/>
                  <w:noWrap/>
                  <w:hideMark/>
                </w:tcPr>
                <w:p>
                  <w:pPr>
                    <w:spacing/>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 </w:t>
                  </w:r>
                </w:p>
              </w:tc>
              <w:tc>
                <w:tcPr>
                  <w:tcW w:type="dxa" w:w="3520"/>
                  <w:tcBorders>
                    <w:top w:val="nil"/>
                    <w:left w:val="nil"/>
                    <w:bottom w:val="single" w:color="auto" w:sz="4" w:space="0"/>
                    <w:right w:val="single" w:color="auto" w:sz="4" w:space="0"/>
                  </w:tcBorders>
                  <w:shd w:fill="auto" w:color="auto" w:val="clear"/>
                  <w:hideMark/>
                </w:tcPr>
                <w:p>
                  <w:pPr>
                    <w:spacing/>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 7007 FINANCIRANJE SREDNJEG ŠKOLSTVA PREMA MINIMALNOM STANDARDU </w:t>
                  </w:r>
                </w:p>
              </w:tc>
              <w:tc>
                <w:tcPr>
                  <w:tcW w:type="dxa" w:w="1200"/>
                  <w:tcBorders>
                    <w:top w:val="nil"/>
                    <w:left w:val="nil"/>
                    <w:bottom w:val="single" w:color="auto" w:sz="4" w:space="0"/>
                    <w:right w:val="single" w:color="auto" w:sz="4" w:space="0"/>
                  </w:tcBorders>
                  <w:shd w:fill="auto" w:color="auto" w:val="clear"/>
                  <w:noWrap/>
                  <w:hideMark/>
                </w:tcPr>
                <w:p>
                  <w:pPr>
                    <w:spacing/>
                    <w:jc w:val="right"/>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145.360</w:t>
                  </w:r>
                  <w:r>
                    <w:rPr>
                      <w:rFonts w:asciiTheme="majorHAnsi" w:hAnsiTheme="majorHAnsi" w:cstheme="majorHAnsi"/>
                      <w:b/>
                      <w:bCs/>
                      <w:sz w:val="16"/>
                      <w:szCs w:val="16"/>
                      <w:lang w:eastAsia="hr-HR"/>
                    </w:rPr>
                    <w:t xml:space="preserve">,00</w:t>
                  </w:r>
                </w:p>
              </w:tc>
              <w:tc>
                <w:tcPr>
                  <w:tcW w:type="dxa" w:w="130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11.547,00</w:t>
                  </w:r>
                </w:p>
              </w:tc>
              <w:tc>
                <w:tcPr>
                  <w:tcW w:type="dxa" w:w="1240"/>
                  <w:tcBorders>
                    <w:top w:val="nil"/>
                    <w:left w:val="nil"/>
                    <w:bottom w:val="single" w:color="auto" w:sz="4" w:space="0"/>
                    <w:right w:val="single" w:color="auto" w:sz="4" w:space="0"/>
                  </w:tcBorders>
                  <w:shd w:fill="auto" w:color="auto" w:val="clear"/>
                  <w:noWrap/>
                </w:tcPr>
                <w:p>
                  <w:pPr>
                    <w:spacing/>
                    <w:jc w:val="right"/>
                    <w:rPr>
                      <w:rFonts w:asciiTheme="majorHAnsi" w:hAnsiTheme="majorHAnsi" w:cstheme="majorHAnsi"/>
                      <w:b/>
                      <w:bCs/>
                      <w:sz w:val="16"/>
                      <w:szCs w:val="16"/>
                      <w:lang w:eastAsia="hr-HR"/>
                    </w:rPr>
                  </w:pPr>
                  <w:r>
                    <w:rPr>
                      <w:rFonts w:asciiTheme="majorHAnsi" w:hAnsiTheme="majorHAnsi" w:cstheme="majorHAnsi"/>
                      <w:b/>
                      <w:bCs/>
                      <w:sz w:val="16"/>
                      <w:szCs w:val="16"/>
                      <w:lang w:eastAsia="hr-HR"/>
                    </w:rPr>
                    <w:t xml:space="preserve">156.907,00</w:t>
                  </w:r>
                </w:p>
              </w:tc>
            </w:tr>
          </w:tbl>
          <w:p>
            <w:pPr>
              <w:spacing/>
              <w:rPr>
                <w:rFonts w:asciiTheme="majorHAnsi" w:hAnsiTheme="majorHAnsi" w:cstheme="majorHAnsi"/>
                <w:i/>
              </w:rPr>
            </w:pPr>
          </w:p>
          <w:p>
            <w:pPr>
              <w:spacing w:after="0" w:line="240" w:lineRule="auto"/>
              <w:jc w:val="both"/>
              <w:rPr>
                <w:rFonts w:asciiTheme="majorHAnsi" w:hAnsiTheme="majorHAnsi" w:eastAsia="Times New Roman" w:cstheme="majorHAnsi"/>
                <w:sz w:val="20"/>
                <w:szCs w:val="20"/>
              </w:rPr>
            </w:pPr>
            <w:r>
              <w:rPr>
                <w:rFonts w:asciiTheme="majorHAnsi" w:hAnsiTheme="majorHAnsi" w:eastAsia="Times New Roman" w:cstheme="majorHAnsi"/>
                <w:sz w:val="20"/>
                <w:szCs w:val="20"/>
              </w:rPr>
              <w:t xml:space="preserve">Preraspodjelom raspoloživih sredstava od strane Upravnog odjela za obrazovanje i mlade kroz razradu kriterija i mjerila decentraliziranog financiranja povećan je iznos planiranih sredstava financiranja općih troškova srednjeg školstva, izmijenjen je iznos financiranja stvarnih troškova</w:t>
            </w:r>
            <w:r>
              <w:rPr>
                <w:rFonts w:asciiTheme="majorHAnsi" w:hAnsiTheme="majorHAnsi" w:eastAsia="Times New Roman" w:cstheme="majorHAnsi"/>
                <w:sz w:val="20"/>
                <w:szCs w:val="20"/>
              </w:rPr>
              <w:t xml:space="preserve">, </w:t>
            </w:r>
            <w:r>
              <w:rPr>
                <w:rFonts w:asciiTheme="majorHAnsi" w:hAnsiTheme="majorHAnsi" w:eastAsia="Times New Roman" w:cstheme="majorHAnsi"/>
                <w:sz w:val="20"/>
                <w:szCs w:val="20"/>
              </w:rPr>
              <w:t xml:space="preserve">dok je program Izgradnja, rekonstrukcija i opremanje objekata srednjeg školstva ostao nepromijenjen.</w:t>
            </w:r>
          </w:p>
          <w:p>
            <w:pPr>
              <w:spacing w:after="0" w:line="240" w:lineRule="auto"/>
              <w:jc w:val="both"/>
              <w:rPr>
                <w:rFonts w:asciiTheme="majorHAnsi" w:hAnsiTheme="majorHAnsi" w:eastAsia="Times New Roman" w:cstheme="majorHAnsi"/>
                <w:sz w:val="20"/>
                <w:szCs w:val="20"/>
              </w:rPr>
            </w:pPr>
          </w:p>
          <w:p>
            <w:pPr>
              <w:spacing/>
              <w:rPr>
                <w:rFonts w:asciiTheme="majorHAnsi" w:hAnsiTheme="majorHAnsi" w:eastAsia="Times New Roman" w:cstheme="majorHAnsi"/>
                <w:bCs/>
                <w:sz w:val="20"/>
                <w:szCs w:val="20"/>
              </w:rPr>
            </w:pPr>
            <w:r>
              <w:rPr>
                <w:rFonts w:asciiTheme="majorHAnsi" w:hAnsiTheme="majorHAnsi" w:eastAsia="Times New Roman" w:cstheme="majorHAnsi"/>
                <w:bCs/>
                <w:sz w:val="20"/>
                <w:szCs w:val="20"/>
              </w:rPr>
              <w:t xml:space="preserve">Aktivnost A7007 05 – povećanje od 3.000,00 eur raspoređeno je na </w:t>
            </w:r>
            <w:r>
              <w:rPr>
                <w:rFonts w:asciiTheme="majorHAnsi" w:hAnsiTheme="majorHAnsi" w:eastAsia="Times New Roman" w:cstheme="majorHAnsi"/>
                <w:bCs/>
                <w:sz w:val="20"/>
                <w:szCs w:val="20"/>
              </w:rPr>
              <w:t xml:space="preserve">tekuće troškove Škole sukladno </w:t>
            </w:r>
            <w:r>
              <w:rPr>
                <w:rFonts w:asciiTheme="majorHAnsi" w:hAnsiTheme="majorHAnsi" w:eastAsia="Times New Roman" w:cstheme="majorHAnsi"/>
                <w:bCs/>
                <w:sz w:val="20"/>
                <w:szCs w:val="20"/>
              </w:rPr>
              <w:t xml:space="preserve">potrebama. </w:t>
            </w:r>
          </w:p>
          <w:p>
            <w:pPr>
              <w:spacing/>
              <w:rPr>
                <w:rFonts w:asciiTheme="majorHAnsi" w:hAnsiTheme="majorHAnsi" w:cstheme="majorHAnsi"/>
                <w:bCs/>
                <w:sz w:val="20"/>
                <w:szCs w:val="20"/>
              </w:rPr>
            </w:pPr>
            <w:r>
              <w:rPr>
                <w:rFonts w:asciiTheme="majorHAnsi" w:hAnsiTheme="majorHAnsi" w:cstheme="majorHAnsi"/>
                <w:bCs/>
                <w:sz w:val="20"/>
                <w:szCs w:val="20"/>
              </w:rPr>
              <w:t xml:space="preserve">Aktivnost A7007 06 – povećanje od 8.547,00 eur odnosi se na povećanje troškova prijevoza djelatnika na posao i s posla,  a razlog doznačenom je povećanje troška eur/km. </w:t>
            </w:r>
          </w:p>
          <w:p>
            <w:pPr>
              <w:spacing/>
              <w:jc w:val="both"/>
              <w:rPr>
                <w:rFonts w:asciiTheme="majorHAnsi" w:hAnsiTheme="majorHAnsi" w:cstheme="majorHAnsi"/>
                <w:bCs/>
                <w:i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61"/>
              <w:gridCol w:w="1266"/>
              <w:gridCol w:w="1394"/>
              <w:gridCol w:w="1405"/>
              <w:gridCol w:w="1376"/>
            </w:tblGrid>
            <w:tr>
              <w:trPr>
                <w:cantSplit/>
              </w:trPr>
              <w:tc>
                <w:tcPr>
                  <w:tcW w:type="dxa" w:w="1461"/>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Pokazatelj uspješnosti</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Polazna</w:t>
                  </w:r>
                </w:p>
                <w:p>
                  <w:pPr>
                    <w:spacing w:after="0"/>
                    <w:jc w:val="center"/>
                    <w:rPr>
                      <w:rFonts w:asciiTheme="majorHAnsi" w:hAnsiTheme="majorHAnsi" w:cstheme="majorHAnsi"/>
                      <w:sz w:val="20"/>
                      <w:szCs w:val="20"/>
                    </w:rPr>
                  </w:pPr>
                  <w:r>
                    <w:rPr>
                      <w:rFonts w:asciiTheme="majorHAnsi" w:hAnsiTheme="majorHAnsi" w:cstheme="majorHAnsi"/>
                      <w:sz w:val="20"/>
                      <w:szCs w:val="20"/>
                    </w:rPr>
                    <w:t xml:space="preserve">vrijednost</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Ciljana</w:t>
                  </w:r>
                </w:p>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vrijednost</w:t>
                  </w:r>
                </w:p>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202</w:t>
                  </w:r>
                  <w:r>
                    <w:rPr>
                      <w:rFonts w:asciiTheme="majorHAnsi" w:hAnsiTheme="majorHAnsi" w:cstheme="majorHAnsi"/>
                      <w:bCs/>
                      <w:sz w:val="20"/>
                      <w:szCs w:val="20"/>
                    </w:rPr>
                    <w:t xml:space="preserve">3</w:t>
                  </w:r>
                  <w:r>
                    <w:rPr>
                      <w:rFonts w:asciiTheme="majorHAnsi" w:hAnsiTheme="majorHAnsi" w:cstheme="majorHAnsi"/>
                      <w:bCs/>
                      <w:sz w:val="20"/>
                      <w:szCs w:val="20"/>
                    </w:rPr>
                    <w:t xml:space="preserve">.</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Povećanje / smanjenje</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sz w:val="20"/>
                      <w:szCs w:val="20"/>
                    </w:rPr>
                  </w:pPr>
                  <w:r>
                    <w:rPr>
                      <w:rFonts w:asciiTheme="majorHAnsi" w:hAnsiTheme="majorHAnsi" w:cstheme="majorHAnsi"/>
                      <w:bCs/>
                      <w:sz w:val="20"/>
                      <w:szCs w:val="20"/>
                    </w:rPr>
                    <w:t xml:space="preserve">Nova ciljana vr.</w:t>
                  </w:r>
                </w:p>
                <w:p>
                  <w:pPr>
                    <w:spacing w:after="0"/>
                    <w:jc w:val="center"/>
                    <w:rPr>
                      <w:rFonts w:asciiTheme="majorHAnsi" w:hAnsiTheme="majorHAnsi" w:cstheme="majorHAnsi"/>
                      <w:bCs/>
                      <w:sz w:val="20"/>
                      <w:szCs w:val="20"/>
                    </w:rPr>
                  </w:pP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1. – </w:t>
                  </w:r>
                  <w:r>
                    <w:rPr>
                      <w:rFonts w:asciiTheme="majorHAnsi" w:hAnsiTheme="majorHAnsi" w:cstheme="majorHAnsi"/>
                      <w:sz w:val="20"/>
                      <w:szCs w:val="20"/>
                    </w:rPr>
                    <w:t xml:space="preserve">S</w:t>
                  </w:r>
                  <w:r>
                    <w:rPr>
                      <w:rFonts w:asciiTheme="majorHAnsi" w:hAnsiTheme="majorHAnsi" w:cstheme="majorHAnsi"/>
                      <w:i/>
                      <w:sz w:val="20"/>
                      <w:szCs w:val="20"/>
                    </w:rPr>
                    <w:t xml:space="preserve">tručno usavršavanje djelatnika (broj seminara, simpozija, stručnih skupova)</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15</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15</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3. – </w:t>
                  </w:r>
                </w:p>
                <w:p>
                  <w:pPr>
                    <w:spacing/>
                    <w:rPr>
                      <w:rFonts w:asciiTheme="majorHAnsi" w:hAnsiTheme="majorHAnsi" w:cstheme="majorHAnsi"/>
                      <w:i/>
                      <w:sz w:val="20"/>
                      <w:szCs w:val="20"/>
                    </w:rPr>
                  </w:pPr>
                  <w:r>
                    <w:rPr>
                      <w:rFonts w:asciiTheme="majorHAnsi" w:hAnsiTheme="majorHAnsi" w:cstheme="majorHAnsi"/>
                      <w:i/>
                      <w:sz w:val="20"/>
                      <w:szCs w:val="20"/>
                    </w:rPr>
                    <w:t xml:space="preserve">Održavanje školske dvorane u stanju adekvatnom za odgoj i obrazovanje </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3. – </w:t>
                  </w:r>
                </w:p>
                <w:p>
                  <w:pPr>
                    <w:spacing/>
                    <w:rPr>
                      <w:rFonts w:asciiTheme="majorHAnsi" w:hAnsiTheme="majorHAnsi" w:cstheme="majorHAnsi"/>
                      <w:sz w:val="20"/>
                      <w:szCs w:val="20"/>
                    </w:rPr>
                  </w:pPr>
                  <w:r>
                    <w:rPr>
                      <w:rFonts w:asciiTheme="majorHAnsi" w:hAnsiTheme="majorHAnsi" w:cstheme="majorHAnsi"/>
                      <w:i/>
                      <w:sz w:val="20"/>
                      <w:szCs w:val="20"/>
                    </w:rPr>
                    <w:t xml:space="preserve">Održavanje školske zgrade u stanju adekvatnom za odgoj i obrazovanje</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w:t>
                  </w:r>
                </w:p>
              </w:tc>
            </w:tr>
          </w:tbl>
          <w:p>
            <w:pPr>
              <w:spacing/>
              <w:rPr>
                <w:rFonts w:asciiTheme="majorHAnsi" w:hAnsiTheme="majorHAnsi" w:cstheme="majorHAnsi"/>
                <w:bCs/>
              </w:rPr>
            </w:pPr>
          </w:p>
        </w:tc>
      </w:tr>
    </w:tbl>
    <w:p w14:paraId="2F4E64BC">
      <w:pPr>
        <w:spacing/>
        <w:rPr>
          <w:rFonts w:asciiTheme="majorHAnsi" w:hAnsiTheme="majorHAnsi" w:cstheme="majorHAnsi"/>
        </w:rPr>
      </w:pPr>
    </w:p>
    <w:tbl>
      <w:tblPr>
        <w:tblW w:w="9935"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3"/>
        <w:gridCol w:w="2325"/>
        <w:gridCol w:w="123"/>
        <w:gridCol w:w="113"/>
        <w:gridCol w:w="123"/>
        <w:gridCol w:w="7005"/>
        <w:gridCol w:w="123"/>
      </w:tblGrid>
      <w:tr>
        <w:trPr>
          <w:gridBefore w:val="1"/>
          <w:wBefore w:type="dxa" w:w="123"/>
        </w:trPr>
        <w:tc>
          <w:tcPr>
            <w:tcW w:type="dxa" w:w="2448"/>
            <w:gridSpan w:val="2"/>
            <w:tcBorders>
              <w:top w:val="single" w:color="auto" w:sz="12" w:space="0"/>
              <w:left w:val="single" w:color="auto" w:sz="12" w:space="0"/>
              <w:bottom w:val="single" w:color="auto" w:sz="12" w:space="0"/>
              <w:right w:val="single" w:color="auto" w:sz="12" w:space="0"/>
            </w:tcBorders>
          </w:tcPr>
          <w:p>
            <w:pPr>
              <w:spacing/>
              <w:rPr>
                <w:rFonts w:asciiTheme="majorHAnsi" w:hAnsiTheme="majorHAnsi" w:cstheme="majorHAnsi"/>
                <w:iCs/>
              </w:rPr>
            </w:pPr>
            <w:r>
              <w:rPr>
                <w:rFonts w:asciiTheme="majorHAnsi" w:hAnsiTheme="majorHAnsi" w:cstheme="majorHAnsi"/>
                <w:iCs/>
              </w:rPr>
              <w:t xml:space="preserve">NAZIV PROGRAMA:</w:t>
            </w:r>
          </w:p>
          <w:p>
            <w:pPr>
              <w:spacing/>
              <w:rPr>
                <w:rFonts w:asciiTheme="majorHAnsi" w:hAnsiTheme="majorHAnsi" w:cstheme="majorHAnsi"/>
                <w:bCs/>
              </w:rPr>
            </w:pPr>
            <w:r>
              <w:rPr>
                <w:rFonts w:asciiTheme="majorHAnsi" w:hAnsiTheme="majorHAnsi" w:cstheme="majorHAnsi"/>
                <w:bCs/>
              </w:rPr>
              <w:t xml:space="preserve">OPIS PROGRAMA, OPĆI I POSEBNI CILJEVI:</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ZAKONSKA OSNOVA ZA UVOĐENJE PROGRAMA:</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2</w:t>
            </w:r>
            <w:r>
              <w:rPr>
                <w:rFonts w:asciiTheme="majorHAnsi" w:hAnsiTheme="majorHAnsi" w:cstheme="majorHAnsi"/>
                <w:bCs/>
              </w:rPr>
              <w:t xml:space="preserve">. REBALANSA FINANCIJSKOG PLANA ZA 2023</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r>
              <w:rPr>
                <w:rFonts w:asciiTheme="majorHAnsi" w:hAnsiTheme="majorHAnsi" w:cstheme="majorHAnsi"/>
                <w:bCs/>
              </w:rPr>
              <w:t xml:space="preserve">POKAZATELJI USPJEŠNOSTI</w:t>
            </w:r>
            <w:r>
              <w:rPr>
                <w:rFonts w:asciiTheme="majorHAnsi" w:hAnsiTheme="majorHAnsi" w:cstheme="majorHAnsi"/>
                <w:bCs/>
              </w:rPr>
              <w:t xml:space="preserve">:</w:t>
            </w: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p>
            <w:pPr>
              <w:spacing/>
              <w:rPr>
                <w:rFonts w:asciiTheme="majorHAnsi" w:hAnsiTheme="majorHAnsi" w:cstheme="majorHAnsi"/>
                <w:bCs/>
              </w:rPr>
            </w:pPr>
          </w:p>
        </w:tc>
        <w:tc>
          <w:tcPr>
            <w:tcW w:type="dxa" w:w="236"/>
            <w:gridSpan w:val="2"/>
            <w:tcBorders>
              <w:top w:val="nil"/>
              <w:left w:val="single" w:color="auto" w:sz="12" w:space="0"/>
              <w:bottom w:val="nil"/>
              <w:right w:val="single" w:color="auto" w:sz="12" w:space="0"/>
            </w:tcBorders>
          </w:tcPr>
          <w:p>
            <w:pPr>
              <w:spacing/>
              <w:rPr>
                <w:rFonts w:asciiTheme="majorHAnsi" w:hAnsiTheme="majorHAnsi" w:cstheme="majorHAnsi"/>
              </w:rPr>
            </w:pPr>
          </w:p>
        </w:tc>
        <w:tc>
          <w:tcPr>
            <w:tcW w:type="dxa" w:w="7128"/>
            <w:gridSpan w:val="2"/>
            <w:tcBorders>
              <w:top w:val="single" w:color="auto" w:sz="12" w:space="0"/>
              <w:left w:val="single" w:color="auto" w:sz="12" w:space="0"/>
              <w:bottom w:val="single" w:color="auto" w:sz="12" w:space="0"/>
              <w:right w:val="single" w:color="auto" w:sz="12" w:space="0"/>
            </w:tcBorders>
          </w:tcPr>
          <w:p>
            <w:pPr>
              <w:spacing/>
              <w:rPr>
                <w:rFonts w:asciiTheme="majorHAnsi" w:hAnsiTheme="majorHAnsi" w:cstheme="majorHAnsi"/>
                <w:b/>
                <w:i/>
              </w:rPr>
            </w:pPr>
            <w:r>
              <w:rPr>
                <w:rFonts w:asciiTheme="majorHAnsi" w:hAnsiTheme="majorHAnsi" w:cstheme="majorHAnsi"/>
                <w:b/>
                <w:i/>
              </w:rPr>
              <w:t xml:space="preserve">1207 RAZVOJ ODGOJNO-OBRAZOVNOG SUSTAVA</w:t>
            </w:r>
          </w:p>
          <w:p>
            <w:pPr>
              <w:spacing/>
              <w:jc w:val="both"/>
              <w:rPr>
                <w:rFonts w:asciiTheme="majorHAnsi" w:hAnsiTheme="majorHAnsi" w:cstheme="majorHAnsi"/>
                <w:sz w:val="20"/>
                <w:szCs w:val="20"/>
              </w:rPr>
            </w:pPr>
            <w:r>
              <w:rPr>
                <w:rFonts w:asciiTheme="majorHAnsi" w:hAnsiTheme="majorHAnsi" w:cstheme="majorHAnsi"/>
                <w:sz w:val="20"/>
                <w:szCs w:val="20"/>
              </w:rPr>
              <w:t xml:space="preserve">Budući da je Škola, odnosno učenici Škole, redovito sudjeluju na natjecanjima, osigurani su </w:t>
            </w:r>
            <w:r>
              <w:rPr>
                <w:rFonts w:asciiTheme="majorHAnsi" w:hAnsiTheme="majorHAnsi" w:cstheme="majorHAnsi"/>
                <w:sz w:val="20"/>
                <w:szCs w:val="20"/>
              </w:rPr>
              <w:t xml:space="preserve">troškovi plaća</w:t>
            </w:r>
            <w:r>
              <w:rPr>
                <w:rFonts w:asciiTheme="majorHAnsi" w:hAnsiTheme="majorHAnsi" w:cstheme="majorHAnsi"/>
                <w:sz w:val="20"/>
                <w:szCs w:val="20"/>
              </w:rPr>
              <w:t xml:space="preserve"> zaposlenika</w:t>
            </w:r>
            <w:r>
              <w:rPr>
                <w:rFonts w:asciiTheme="majorHAnsi" w:hAnsiTheme="majorHAnsi" w:cstheme="majorHAnsi"/>
                <w:sz w:val="20"/>
                <w:szCs w:val="20"/>
              </w:rPr>
              <w:t xml:space="preserve">, uredskog materijala i reprezentacije</w:t>
            </w:r>
            <w:r>
              <w:rPr>
                <w:rFonts w:asciiTheme="majorHAnsi" w:hAnsiTheme="majorHAnsi" w:cstheme="majorHAnsi"/>
                <w:sz w:val="20"/>
                <w:szCs w:val="20"/>
              </w:rPr>
              <w:t xml:space="preserve">. </w:t>
            </w:r>
          </w:p>
          <w:p>
            <w:pPr>
              <w:spacing/>
              <w:jc w:val="both"/>
              <w:rPr>
                <w:rFonts w:asciiTheme="majorHAnsi" w:hAnsiTheme="majorHAnsi" w:cstheme="majorHAnsi"/>
                <w:sz w:val="20"/>
                <w:szCs w:val="20"/>
              </w:rPr>
            </w:pPr>
            <w:r>
              <w:rPr>
                <w:rFonts w:asciiTheme="majorHAnsi" w:hAnsiTheme="majorHAnsi" w:cstheme="majorHAnsi"/>
                <w:sz w:val="20"/>
                <w:szCs w:val="20"/>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pPr>
              <w:spacing/>
              <w:jc w:val="both"/>
              <w:rPr>
                <w:rFonts w:asciiTheme="majorHAnsi" w:hAnsiTheme="majorHAnsi" w:cstheme="majorHAnsi"/>
                <w:sz w:val="20"/>
                <w:szCs w:val="20"/>
              </w:rPr>
            </w:pPr>
            <w:r>
              <w:rPr>
                <w:rFonts w:asciiTheme="majorHAnsi" w:hAnsiTheme="majorHAnsi" w:cstheme="majorHAnsi"/>
                <w:sz w:val="20"/>
                <w:szCs w:val="20"/>
              </w:rPr>
              <w:t xml:space="preserve">Mjerom školska shema voća, povrća i mlijeka , učenicima je od strane Osnivača osigurano svježe voće najmanje jednom tjedno.</w:t>
            </w:r>
          </w:p>
          <w:p>
            <w:pPr>
              <w:spacing/>
              <w:jc w:val="both"/>
              <w:rPr>
                <w:rFonts w:asciiTheme="majorHAnsi" w:hAnsiTheme="majorHAnsi" w:cstheme="majorHAnsi"/>
                <w:sz w:val="20"/>
                <w:szCs w:val="20"/>
              </w:rPr>
            </w:pP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odgoju i obrazovanju u osnovnoj i srednjoj školi (Narodne novine broj 87/08, 86/09, 92/10,105/10, 90/11, 5/12,16/12, 86/12, 126/12, 94/13,152/14 , 07/17, 68/18, 98/19 i 64/20) </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ustanovama (Narodne novine broj 76/93, 29/97,47/99, 35/08 i 127/19)</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proračunu</w:t>
            </w:r>
            <w:r>
              <w:rPr>
                <w:rFonts w:asciiTheme="majorHAnsi" w:hAnsiTheme="majorHAnsi" w:cstheme="majorHAnsi"/>
                <w:sz w:val="20"/>
                <w:szCs w:val="20"/>
              </w:rPr>
              <w:t xml:space="preserve"> ( Narodne novine broj 144/21</w:t>
            </w:r>
            <w:r>
              <w:rPr>
                <w:rFonts w:asciiTheme="majorHAnsi" w:hAnsiTheme="majorHAnsi" w:cstheme="majorHAnsi"/>
                <w:sz w:val="20"/>
                <w:szCs w:val="20"/>
              </w:rPr>
              <w:t xml:space="preserve">), Pravilnik o proračunskim klasifikacijama (Narodne novine broj 26/10, 120/13 i 001/20), Pravilnik o proračunskom računovodstvu i računskom planu (Narodne novine broj 124/14, 115/15, 87/16, 003/18, 126/19 i 108/20), Zakon o fiskalnoj odgovornosti (Narodne novine broj 111/18)</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Upute za izradu Proračuna Osječko-baranjske županije za razdoblje 2023.-2025. </w:t>
            </w:r>
          </w:p>
          <w:p>
            <w:pPr>
              <w:spacing w:after="0"/>
              <w:jc w:val="both"/>
              <w:rPr>
                <w:rFonts w:asciiTheme="majorHAnsi" w:hAnsiTheme="majorHAnsi" w:cstheme="majorHAnsi"/>
                <w:sz w:val="20"/>
                <w:szCs w:val="20"/>
              </w:rPr>
            </w:pPr>
            <w:r>
              <w:rPr>
                <w:rFonts w:asciiTheme="majorHAnsi" w:hAnsiTheme="majorHAnsi" w:cstheme="majorHAnsi"/>
                <w:sz w:val="20"/>
                <w:szCs w:val="20"/>
              </w:rPr>
              <w:t xml:space="preserve">Zakon o uspostavi institucionalnog okvira za korištenje strukturnih instrumenata Europske unije u Republici Hrvatskoj.</w:t>
            </w:r>
          </w:p>
          <w:p>
            <w:pPr>
              <w:spacing w:after="0"/>
              <w:jc w:val="both"/>
              <w:rPr>
                <w:rFonts w:asciiTheme="majorHAnsi" w:hAnsiTheme="majorHAnsi" w:cstheme="majorHAnsi"/>
                <w:sz w:val="20"/>
                <w:szCs w:val="20"/>
              </w:rPr>
            </w:pPr>
          </w:p>
          <w:p>
            <w:pPr>
              <w:spacing w:after="0"/>
              <w:jc w:val="both"/>
              <w:rPr>
                <w:rFonts w:asciiTheme="majorHAnsi" w:hAnsiTheme="majorHAnsi" w:cstheme="majorHAnsi"/>
                <w:sz w:val="20"/>
                <w:szCs w:val="20"/>
              </w:rPr>
            </w:pPr>
          </w:p>
          <w:p>
            <w:pPr>
              <w:spacing w:after="0"/>
              <w:jc w:val="both"/>
              <w:rPr>
                <w:rFonts w:asciiTheme="majorHAnsi" w:hAnsiTheme="majorHAnsi" w:cstheme="majorHAnsi"/>
                <w:sz w:val="20"/>
                <w:szCs w:val="20"/>
              </w:rPr>
            </w:pPr>
          </w:p>
          <w:p>
            <w:pPr>
              <w:spacing w:after="0"/>
              <w:jc w:val="both"/>
              <w:rPr>
                <w:rFonts w:asciiTheme="majorHAnsi" w:hAnsiTheme="majorHAnsi" w:cstheme="majorHAnsi"/>
                <w:sz w:val="20"/>
                <w:szCs w:val="20"/>
              </w:rPr>
            </w:pPr>
          </w:p>
          <w:p>
            <w:pPr>
              <w:spacing/>
              <w:rPr>
                <w:rFonts w:asciiTheme="majorHAnsi" w:hAnsiTheme="majorHAnsi" w:cstheme="majorHAnsi"/>
                <w:iCs/>
                <w:sz w:val="20"/>
                <w:szCs w:val="20"/>
              </w:rPr>
            </w:pPr>
            <w:r>
              <w:rPr>
                <w:rFonts w:asciiTheme="majorHAnsi" w:hAnsiTheme="majorHAnsi" w:cstheme="majorHAnsi"/>
                <w:iCs/>
                <w:sz w:val="20"/>
                <w:szCs w:val="20"/>
              </w:rPr>
              <w:t xml:space="preserve">Pregled </w:t>
            </w:r>
            <w:r>
              <w:rPr>
                <w:rFonts w:asciiTheme="majorHAnsi" w:hAnsiTheme="majorHAnsi" w:cstheme="majorHAnsi"/>
                <w:iCs/>
                <w:sz w:val="20"/>
                <w:szCs w:val="20"/>
              </w:rPr>
              <w:t xml:space="preserve"> financijskih sredstava po aktivnostima/projektima unutar programa</w:t>
            </w:r>
            <w:r>
              <w:rPr>
                <w:rFonts w:asciiTheme="majorHAnsi" w:hAnsiTheme="majorHAnsi" w:cstheme="majorHAnsi"/>
                <w:iCs/>
                <w:sz w:val="20"/>
                <w:szCs w:val="20"/>
              </w:rPr>
              <w:t xml:space="preserve">:</w:t>
            </w:r>
          </w:p>
          <w:tbl>
            <w:tblPr>
              <w:tblW w:w="6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
              <w:gridCol w:w="2000"/>
              <w:gridCol w:w="1377"/>
              <w:gridCol w:w="1377"/>
              <w:gridCol w:w="1459"/>
            </w:tblGrid>
            <w:tr>
              <w:trPr>
                <w:cantSplit/>
              </w:trPr>
              <w:tc>
                <w:tcPr>
                  <w:tcW w:type="dxa" w:w="571"/>
                  <w:tcBorders>
                    <w:top w:val="single" w:color="auto" w:sz="4" w:space="0"/>
                    <w:left w:val="single" w:color="auto" w:sz="4" w:space="0"/>
                    <w:bottom w:val="single" w:color="auto" w:sz="4" w:space="0"/>
                    <w:right w:val="single" w:color="auto" w:sz="4" w:space="0"/>
                  </w:tcBorders>
                  <w:vAlign w:val="center"/>
                </w:tcPr>
                <w:p>
                  <w:pPr>
                    <w:spacing/>
                    <w:rPr>
                      <w:rFonts w:asciiTheme="majorHAnsi" w:hAnsiTheme="majorHAnsi" w:cstheme="majorHAnsi"/>
                      <w:bCs/>
                      <w:color w:val="000000"/>
                      <w:sz w:val="16"/>
                      <w:szCs w:val="16"/>
                    </w:rPr>
                  </w:pPr>
                  <w:r>
                    <w:rPr>
                      <w:rFonts w:asciiTheme="majorHAnsi" w:hAnsiTheme="majorHAnsi" w:cstheme="majorHAnsi"/>
                      <w:bCs/>
                      <w:color w:val="000000"/>
                      <w:sz w:val="16"/>
                      <w:szCs w:val="16"/>
                    </w:rPr>
                    <w:t xml:space="preserve">R.b.</w:t>
                  </w:r>
                </w:p>
              </w:tc>
              <w:tc>
                <w:tcPr>
                  <w:tcW w:type="dxa" w:w="2000"/>
                  <w:tcBorders>
                    <w:top w:val="single" w:color="auto" w:sz="4" w:space="0"/>
                    <w:left w:val="single" w:color="auto" w:sz="4" w:space="0"/>
                    <w:bottom w:val="single" w:color="auto" w:sz="4" w:space="0"/>
                    <w:right w:val="single" w:color="auto" w:sz="4" w:space="0"/>
                  </w:tcBorders>
                  <w:vAlign w:val="center"/>
                </w:tcPr>
                <w:p>
                  <w:pPr>
                    <w:spacing/>
                    <w:rPr>
                      <w:rFonts w:asciiTheme="majorHAnsi" w:hAnsiTheme="majorHAnsi" w:cstheme="majorHAnsi"/>
                      <w:bCs/>
                      <w:color w:val="000000"/>
                      <w:sz w:val="16"/>
                      <w:szCs w:val="16"/>
                    </w:rPr>
                  </w:pPr>
                  <w:r>
                    <w:rPr>
                      <w:rFonts w:asciiTheme="majorHAnsi" w:hAnsiTheme="majorHAnsi" w:cstheme="majorHAnsi"/>
                      <w:bCs/>
                      <w:color w:val="000000"/>
                      <w:sz w:val="16"/>
                      <w:szCs w:val="16"/>
                    </w:rPr>
                    <w:t xml:space="preserve">Naziv aktivnosti/projekta</w:t>
                  </w:r>
                </w:p>
              </w:tc>
              <w:tc>
                <w:tcPr>
                  <w:tcW w:type="dxa" w:w="137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bCs/>
                      <w:color w:val="000000"/>
                      <w:sz w:val="16"/>
                      <w:szCs w:val="16"/>
                    </w:rPr>
                  </w:pPr>
                  <w:r>
                    <w:rPr>
                      <w:rFonts w:asciiTheme="majorHAnsi" w:hAnsiTheme="majorHAnsi" w:cstheme="majorHAnsi"/>
                      <w:bCs/>
                      <w:color w:val="000000"/>
                      <w:sz w:val="16"/>
                      <w:szCs w:val="16"/>
                    </w:rPr>
                    <w:t xml:space="preserve">Plan za </w:t>
                  </w:r>
                  <w:r>
                    <w:rPr>
                      <w:rFonts w:asciiTheme="majorHAnsi" w:hAnsiTheme="majorHAnsi" w:cstheme="majorHAnsi"/>
                      <w:bCs/>
                      <w:color w:val="000000"/>
                      <w:sz w:val="16"/>
                      <w:szCs w:val="16"/>
                    </w:rPr>
                    <w:t xml:space="preserve">202</w:t>
                  </w:r>
                  <w:r>
                    <w:rPr>
                      <w:rFonts w:asciiTheme="majorHAnsi" w:hAnsiTheme="majorHAnsi" w:cstheme="majorHAnsi"/>
                      <w:bCs/>
                      <w:color w:val="000000"/>
                      <w:sz w:val="16"/>
                      <w:szCs w:val="16"/>
                    </w:rPr>
                    <w:t xml:space="preserve">3</w:t>
                  </w:r>
                  <w:r>
                    <w:rPr>
                      <w:rFonts w:asciiTheme="majorHAnsi" w:hAnsiTheme="majorHAnsi" w:cstheme="majorHAnsi"/>
                      <w:bCs/>
                      <w:color w:val="000000"/>
                      <w:sz w:val="16"/>
                      <w:szCs w:val="16"/>
                    </w:rPr>
                    <w:t xml:space="preserve">.</w:t>
                  </w:r>
                </w:p>
              </w:tc>
              <w:tc>
                <w:tcPr>
                  <w:tcW w:type="dxa" w:w="137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bCs/>
                      <w:color w:val="000000"/>
                      <w:sz w:val="16"/>
                      <w:szCs w:val="16"/>
                    </w:rPr>
                  </w:pPr>
                  <w:r>
                    <w:rPr>
                      <w:rFonts w:asciiTheme="majorHAnsi" w:hAnsiTheme="majorHAnsi" w:cstheme="majorHAnsi"/>
                      <w:bCs/>
                      <w:color w:val="000000"/>
                      <w:sz w:val="16"/>
                      <w:szCs w:val="16"/>
                    </w:rPr>
                    <w:t xml:space="preserve">Povećanje / smanjenje </w:t>
                  </w:r>
                </w:p>
              </w:tc>
              <w:tc>
                <w:tcPr>
                  <w:tcW w:type="dxa" w:w="1459"/>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bCs/>
                      <w:color w:val="000000"/>
                      <w:sz w:val="16"/>
                      <w:szCs w:val="16"/>
                    </w:rPr>
                  </w:pPr>
                  <w:r>
                    <w:rPr>
                      <w:rFonts w:asciiTheme="majorHAnsi" w:hAnsiTheme="majorHAnsi" w:cstheme="majorHAnsi"/>
                      <w:bCs/>
                      <w:color w:val="000000"/>
                      <w:sz w:val="16"/>
                      <w:szCs w:val="16"/>
                    </w:rPr>
                    <w:t xml:space="preserve">Nova vrijednost</w:t>
                  </w:r>
                </w:p>
              </w:tc>
            </w:tr>
            <w:tr>
              <w:trPr>
                <w:cantSplit/>
                <w:trHeight w:val="909"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spacing/>
                    <w:rPr>
                      <w:rFonts w:asciiTheme="majorHAnsi" w:hAnsiTheme="majorHAnsi" w:cstheme="majorHAnsi"/>
                      <w:sz w:val="16"/>
                      <w:szCs w:val="16"/>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szCs w:val="16"/>
                    </w:rPr>
                  </w:pPr>
                  <w:r>
                    <w:rPr>
                      <w:rFonts w:asciiTheme="majorHAnsi" w:hAnsiTheme="majorHAnsi" w:cstheme="majorHAnsi"/>
                      <w:sz w:val="16"/>
                      <w:szCs w:val="16"/>
                    </w:rPr>
                    <w:t xml:space="preserve">Organizacija i izvođenje natjecanja i smotri</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251,00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251</w:t>
                  </w:r>
                  <w:r>
                    <w:rPr>
                      <w:rFonts w:asciiTheme="majorHAnsi" w:hAnsiTheme="majorHAnsi" w:cstheme="majorHAnsi"/>
                      <w:sz w:val="16"/>
                      <w:szCs w:val="16"/>
                    </w:rPr>
                    <w:t xml:space="preserve">,00</w:t>
                  </w:r>
                </w:p>
              </w:tc>
            </w:tr>
            <w:tr>
              <w:trPr>
                <w:cantSplit/>
                <w:trHeight w:val="332"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spacing/>
                    <w:rPr>
                      <w:rFonts w:asciiTheme="majorHAnsi" w:hAnsiTheme="majorHAnsi" w:cstheme="majorHAnsi"/>
                      <w:sz w:val="16"/>
                      <w:szCs w:val="16"/>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szCs w:val="16"/>
                    </w:rPr>
                  </w:pPr>
                  <w:r>
                    <w:rPr>
                      <w:rFonts w:asciiTheme="majorHAnsi" w:hAnsiTheme="majorHAnsi" w:cstheme="majorHAnsi"/>
                      <w:sz w:val="16"/>
                      <w:szCs w:val="16"/>
                    </w:rPr>
                    <w:t xml:space="preserve">Sufinanciranje obavezne školske lektire u osnovnim i srednjim školama</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166,00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166</w:t>
                  </w:r>
                  <w:r>
                    <w:rPr>
                      <w:rFonts w:asciiTheme="majorHAnsi" w:hAnsiTheme="majorHAnsi" w:cstheme="majorHAnsi"/>
                      <w:sz w:val="16"/>
                      <w:szCs w:val="16"/>
                    </w:rPr>
                    <w:t xml:space="preserve">,00</w:t>
                  </w:r>
                </w:p>
              </w:tc>
            </w:tr>
            <w:tr>
              <w:trPr>
                <w:cantSpli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spacing/>
                    <w:rPr>
                      <w:rFonts w:asciiTheme="majorHAnsi" w:hAnsiTheme="majorHAnsi" w:cstheme="majorHAnsi"/>
                      <w:sz w:val="16"/>
                      <w:szCs w:val="16"/>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szCs w:val="16"/>
                    </w:rPr>
                  </w:pPr>
                  <w:r>
                    <w:rPr>
                      <w:rFonts w:asciiTheme="majorHAnsi" w:hAnsiTheme="majorHAnsi" w:cstheme="majorHAnsi"/>
                      <w:sz w:val="16"/>
                      <w:szCs w:val="16"/>
                    </w:rPr>
                    <w:t xml:space="preserve">Shema – voće, povrće i mlijeko</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2.246,00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2.246</w:t>
                  </w:r>
                  <w:r>
                    <w:rPr>
                      <w:rFonts w:asciiTheme="majorHAnsi" w:hAnsiTheme="majorHAnsi" w:cstheme="majorHAnsi"/>
                      <w:sz w:val="16"/>
                      <w:szCs w:val="16"/>
                    </w:rPr>
                    <w:t xml:space="preserve">,00</w:t>
                  </w:r>
                </w:p>
              </w:tc>
            </w:tr>
            <w:tr>
              <w:trPr>
                <w:cantSpli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spacing/>
                    <w:rPr>
                      <w:rFonts w:asciiTheme="majorHAnsi" w:hAnsiTheme="majorHAnsi" w:cstheme="majorHAnsi"/>
                      <w:sz w:val="16"/>
                      <w:szCs w:val="16"/>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szCs w:val="16"/>
                    </w:rPr>
                  </w:pPr>
                  <w:r>
                    <w:rPr>
                      <w:rFonts w:asciiTheme="majorHAnsi" w:hAnsiTheme="majorHAnsi" w:cstheme="majorHAnsi"/>
                      <w:sz w:val="16"/>
                      <w:szCs w:val="16"/>
                    </w:rPr>
                    <w:t xml:space="preserve">Programi i projekti u odgoju i obrazovanju</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1.350,00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1.998,00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szCs w:val="16"/>
                    </w:rPr>
                  </w:pPr>
                  <w:r>
                    <w:rPr>
                      <w:rFonts w:asciiTheme="majorHAnsi" w:hAnsiTheme="majorHAnsi" w:cstheme="majorHAnsi"/>
                      <w:sz w:val="16"/>
                      <w:szCs w:val="16"/>
                    </w:rPr>
                    <w:t xml:space="preserve">3.348,00</w:t>
                  </w:r>
                </w:p>
              </w:tc>
            </w:tr>
            <w:tr>
              <w:trPr>
                <w:cantSplit/>
              </w:trPr>
              <w:tc>
                <w:tcPr>
                  <w:tcW w:type="dxa" w:w="57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bCs/>
                      <w:sz w:val="16"/>
                      <w:szCs w:val="16"/>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bCs/>
                      <w:sz w:val="16"/>
                      <w:szCs w:val="16"/>
                    </w:rPr>
                  </w:pPr>
                  <w:r>
                    <w:rPr>
                      <w:rFonts w:asciiTheme="majorHAnsi" w:hAnsiTheme="majorHAnsi" w:cstheme="majorHAnsi"/>
                      <w:bCs/>
                      <w:sz w:val="16"/>
                      <w:szCs w:val="16"/>
                    </w:rPr>
                    <w:t xml:space="preserve">Ukupno program:</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bCs/>
                      <w:sz w:val="16"/>
                      <w:szCs w:val="16"/>
                    </w:rPr>
                  </w:pPr>
                  <w:r>
                    <w:rPr>
                      <w:rFonts w:asciiTheme="majorHAnsi" w:hAnsiTheme="majorHAnsi" w:cstheme="majorHAnsi"/>
                      <w:bCs/>
                      <w:sz w:val="16"/>
                      <w:szCs w:val="16"/>
                    </w:rPr>
                    <w:t xml:space="preserve">4.013,00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bCs/>
                      <w:sz w:val="16"/>
                      <w:szCs w:val="16"/>
                    </w:rPr>
                  </w:pPr>
                  <w:r>
                    <w:rPr>
                      <w:rFonts w:asciiTheme="majorHAnsi" w:hAnsiTheme="majorHAnsi" w:cstheme="majorHAnsi"/>
                      <w:bCs/>
                      <w:sz w:val="16"/>
                      <w:szCs w:val="16"/>
                    </w:rPr>
                    <w:t xml:space="preserve">1.998,00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bCs/>
                      <w:sz w:val="16"/>
                      <w:szCs w:val="16"/>
                    </w:rPr>
                  </w:pPr>
                  <w:r>
                    <w:rPr>
                      <w:rFonts w:asciiTheme="majorHAnsi" w:hAnsiTheme="majorHAnsi" w:cstheme="majorHAnsi"/>
                      <w:bCs/>
                      <w:sz w:val="16"/>
                      <w:szCs w:val="16"/>
                    </w:rPr>
                    <w:t xml:space="preserve">6.011,00</w:t>
                  </w:r>
                </w:p>
              </w:tc>
            </w:tr>
          </w:tbl>
          <w:p>
            <w:pPr>
              <w:spacing/>
              <w:rPr>
                <w:rFonts w:asciiTheme="majorHAnsi" w:hAnsiTheme="majorHAnsi" w:cstheme="majorHAnsi"/>
                <w:bCs/>
              </w:rPr>
            </w:pPr>
          </w:p>
          <w:p>
            <w:pPr>
              <w:spacing/>
              <w:jc w:val="both"/>
              <w:rPr>
                <w:rFonts w:asciiTheme="majorHAnsi" w:hAnsiTheme="majorHAnsi" w:cstheme="majorHAnsi"/>
                <w:bCs/>
                <w:sz w:val="20"/>
                <w:szCs w:val="20"/>
              </w:rPr>
            </w:pPr>
            <w:r>
              <w:rPr>
                <w:rFonts w:asciiTheme="majorHAnsi" w:hAnsiTheme="majorHAnsi" w:cstheme="majorHAnsi"/>
                <w:bCs/>
                <w:sz w:val="20"/>
                <w:szCs w:val="20"/>
              </w:rPr>
              <w:t xml:space="preserve">Rebalansom je Aktivnost 4. Programi i projekti u odgoju i obrazovanju uvećana za 1.998,00 eur. Navedeni iznos predstavlja namjenska sredstva doznačena od Osnivača za troškove materijala potrebnih za izradu scenografije za predstavu „Orašar“.</w:t>
            </w:r>
          </w:p>
          <w:p>
            <w:pPr>
              <w:spacing/>
              <w:jc w:val="both"/>
              <w:rPr>
                <w:rFonts w:asciiTheme="majorHAnsi" w:hAnsiTheme="majorHAnsi" w:cstheme="majorHAnsi"/>
                <w:bCs/>
                <w:sz w:val="20"/>
                <w:szCs w:val="20"/>
              </w:rPr>
            </w:pPr>
            <w:r>
              <w:rPr>
                <w:rFonts w:asciiTheme="majorHAnsi" w:hAnsiTheme="majorHAnsi" w:cstheme="majorHAnsi"/>
                <w:bCs/>
                <w:sz w:val="20"/>
                <w:szCs w:val="20"/>
              </w:rPr>
              <w:t xml:space="preserve">Na organiziranom županijskom natjecanju LIK 2023 sudjelovalo je 74 učenika čime je ispunjen pokazatelj uspješnosti. Slijedi državno natjecanje na kojem se očekuje 12 natjecatelja. </w:t>
            </w:r>
            <w:r>
              <w:rPr>
                <w:rFonts w:asciiTheme="majorHAnsi" w:hAnsiTheme="majorHAnsi" w:cstheme="majorHAnsi"/>
                <w:bCs/>
                <w:sz w:val="20"/>
                <w:szCs w:val="20"/>
              </w:rPr>
              <w:t xml:space="preserve">Sredstvima namijenjenim za kupnju lektira, plan je kupiti 20 knjiga te je u skladu s time korigiran navedeni pokazatelj.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61"/>
              <w:gridCol w:w="1266"/>
              <w:gridCol w:w="1394"/>
              <w:gridCol w:w="1405"/>
              <w:gridCol w:w="1376"/>
            </w:tblGrid>
            <w:tr>
              <w:trPr>
                <w:cantSplit/>
              </w:trPr>
              <w:tc>
                <w:tcPr>
                  <w:tcW w:type="dxa" w:w="1461"/>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rPr>
                  </w:pPr>
                  <w:r>
                    <w:rPr>
                      <w:rFonts w:asciiTheme="majorHAnsi" w:hAnsiTheme="majorHAnsi" w:cstheme="majorHAnsi"/>
                      <w:bCs/>
                    </w:rPr>
                    <w:t xml:space="preserve">Pokazatelj uspješnosti</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rPr>
                  </w:pPr>
                  <w:r>
                    <w:rPr>
                      <w:rFonts w:asciiTheme="majorHAnsi" w:hAnsiTheme="majorHAnsi" w:cstheme="majorHAnsi"/>
                      <w:bCs/>
                    </w:rPr>
                    <w:t xml:space="preserve">Polazna</w:t>
                  </w:r>
                </w:p>
                <w:p>
                  <w:pPr>
                    <w:spacing w:after="0"/>
                    <w:jc w:val="center"/>
                    <w:rPr>
                      <w:rFonts w:asciiTheme="majorHAnsi" w:hAnsiTheme="majorHAnsi" w:cstheme="majorHAnsi"/>
                    </w:rPr>
                  </w:pPr>
                  <w:r>
                    <w:rPr>
                      <w:rFonts w:asciiTheme="majorHAnsi" w:hAnsiTheme="majorHAnsi" w:cstheme="majorHAnsi"/>
                    </w:rPr>
                    <w:t xml:space="preserve">vrijednost</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rPr>
                  </w:pPr>
                  <w:r>
                    <w:rPr>
                      <w:rFonts w:asciiTheme="majorHAnsi" w:hAnsiTheme="majorHAnsi" w:cstheme="majorHAnsi"/>
                      <w:bCs/>
                    </w:rPr>
                    <w:t xml:space="preserve">Ciljana</w:t>
                  </w:r>
                </w:p>
                <w:p>
                  <w:pPr>
                    <w:spacing w:after="0"/>
                    <w:jc w:val="center"/>
                    <w:rPr>
                      <w:rFonts w:asciiTheme="majorHAnsi" w:hAnsiTheme="majorHAnsi" w:cstheme="majorHAnsi"/>
                      <w:bCs/>
                    </w:rPr>
                  </w:pPr>
                  <w:r>
                    <w:rPr>
                      <w:rFonts w:asciiTheme="majorHAnsi" w:hAnsiTheme="majorHAnsi" w:cstheme="majorHAnsi"/>
                      <w:bCs/>
                    </w:rPr>
                    <w:t xml:space="preserve">vrijednost</w:t>
                  </w:r>
                </w:p>
                <w:p>
                  <w:pPr>
                    <w:spacing w:after="0"/>
                    <w:jc w:val="center"/>
                    <w:rPr>
                      <w:rFonts w:asciiTheme="majorHAnsi" w:hAnsiTheme="majorHAnsi" w:cstheme="majorHAnsi"/>
                      <w:bCs/>
                    </w:rPr>
                  </w:pPr>
                  <w:r>
                    <w:rPr>
                      <w:rFonts w:asciiTheme="majorHAnsi" w:hAnsiTheme="majorHAnsi" w:cstheme="majorHAnsi"/>
                      <w:bCs/>
                    </w:rPr>
                    <w:t xml:space="preserve">202</w:t>
                  </w:r>
                  <w:r>
                    <w:rPr>
                      <w:rFonts w:asciiTheme="majorHAnsi" w:hAnsiTheme="majorHAnsi" w:cstheme="majorHAnsi"/>
                      <w:bCs/>
                    </w:rPr>
                    <w:t xml:space="preserve">3</w:t>
                  </w:r>
                  <w:r>
                    <w:rPr>
                      <w:rFonts w:asciiTheme="majorHAnsi" w:hAnsiTheme="majorHAnsi" w:cstheme="majorHAnsi"/>
                      <w:bCs/>
                    </w:rPr>
                    <w:t xml:space="preserve">.</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rPr>
                  </w:pPr>
                  <w:r>
                    <w:rPr>
                      <w:rFonts w:asciiTheme="majorHAnsi" w:hAnsiTheme="majorHAnsi" w:cstheme="majorHAnsi"/>
                      <w:bCs/>
                    </w:rPr>
                    <w:t xml:space="preserve">Povećanje / smanjenje </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0"/>
                    <w:jc w:val="center"/>
                    <w:rPr>
                      <w:rFonts w:asciiTheme="majorHAnsi" w:hAnsiTheme="majorHAnsi" w:cstheme="majorHAnsi"/>
                      <w:bCs/>
                    </w:rPr>
                  </w:pPr>
                  <w:r>
                    <w:rPr>
                      <w:rFonts w:asciiTheme="majorHAnsi" w:hAnsiTheme="majorHAnsi" w:cstheme="majorHAnsi"/>
                      <w:bCs/>
                    </w:rPr>
                    <w:t xml:space="preserve">Nova ciljana vrijednost</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w:t>
                  </w:r>
                  <w:r>
                    <w:rPr>
                      <w:rFonts w:asciiTheme="majorHAnsi" w:hAnsiTheme="majorHAnsi" w:cstheme="majorHAnsi"/>
                      <w:sz w:val="20"/>
                      <w:szCs w:val="20"/>
                    </w:rPr>
                    <w:t xml:space="preserve">4</w:t>
                  </w:r>
                  <w:r>
                    <w:rPr>
                      <w:rFonts w:asciiTheme="majorHAnsi" w:hAnsiTheme="majorHAnsi" w:cstheme="majorHAnsi"/>
                      <w:sz w:val="20"/>
                      <w:szCs w:val="20"/>
                    </w:rPr>
                    <w:t xml:space="preserve">. – </w:t>
                  </w:r>
                </w:p>
                <w:p>
                  <w:pPr>
                    <w:spacing/>
                    <w:rPr>
                      <w:rFonts w:asciiTheme="majorHAnsi" w:hAnsiTheme="majorHAnsi" w:cstheme="majorHAnsi"/>
                      <w:i/>
                      <w:sz w:val="20"/>
                      <w:szCs w:val="20"/>
                    </w:rPr>
                  </w:pPr>
                  <w:r>
                    <w:rPr>
                      <w:rFonts w:asciiTheme="majorHAnsi" w:hAnsiTheme="majorHAnsi" w:cstheme="majorHAnsi"/>
                      <w:i/>
                      <w:sz w:val="20"/>
                      <w:szCs w:val="20"/>
                    </w:rPr>
                    <w:t xml:space="preserve">Broj djece koja će sudjelovati na državnom natjecanju</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12</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12</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4. – </w:t>
                  </w:r>
                </w:p>
                <w:p>
                  <w:pPr>
                    <w:spacing/>
                    <w:rPr>
                      <w:rFonts w:asciiTheme="majorHAnsi" w:hAnsiTheme="majorHAnsi" w:cstheme="majorHAnsi"/>
                      <w:sz w:val="20"/>
                      <w:szCs w:val="20"/>
                    </w:rPr>
                  </w:pPr>
                  <w:r>
                    <w:rPr>
                      <w:rFonts w:asciiTheme="majorHAnsi" w:hAnsiTheme="majorHAnsi" w:cstheme="majorHAnsi"/>
                      <w:i/>
                      <w:sz w:val="20"/>
                      <w:szCs w:val="20"/>
                    </w:rPr>
                    <w:t xml:space="preserve">Izrađena scenografija predstave „Orašar“</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1</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1. – </w:t>
                  </w:r>
                </w:p>
                <w:p>
                  <w:pPr>
                    <w:spacing/>
                    <w:rPr>
                      <w:rFonts w:asciiTheme="majorHAnsi" w:hAnsiTheme="majorHAnsi" w:cstheme="majorHAnsi"/>
                      <w:sz w:val="20"/>
                      <w:szCs w:val="20"/>
                    </w:rPr>
                  </w:pPr>
                  <w:r>
                    <w:rPr>
                      <w:rFonts w:asciiTheme="majorHAnsi" w:hAnsiTheme="majorHAnsi" w:cstheme="majorHAnsi"/>
                      <w:i/>
                      <w:sz w:val="20"/>
                      <w:szCs w:val="20"/>
                    </w:rPr>
                    <w:t xml:space="preserve">Broj djece koja će sudjelovati na županijskom natjecanju</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74</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74</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w:t>
                  </w:r>
                  <w:r>
                    <w:rPr>
                      <w:rFonts w:asciiTheme="majorHAnsi" w:hAnsiTheme="majorHAnsi" w:cstheme="majorHAnsi"/>
                      <w:sz w:val="20"/>
                      <w:szCs w:val="20"/>
                    </w:rPr>
                    <w:t xml:space="preserve">2</w:t>
                  </w:r>
                  <w:r>
                    <w:rPr>
                      <w:rFonts w:asciiTheme="majorHAnsi" w:hAnsiTheme="majorHAnsi" w:cstheme="majorHAnsi"/>
                      <w:sz w:val="20"/>
                      <w:szCs w:val="20"/>
                    </w:rPr>
                    <w:t xml:space="preserve">. – </w:t>
                  </w:r>
                </w:p>
                <w:p>
                  <w:pPr>
                    <w:spacing/>
                    <w:rPr>
                      <w:rFonts w:asciiTheme="majorHAnsi" w:hAnsiTheme="majorHAnsi" w:cstheme="majorHAnsi"/>
                      <w:sz w:val="20"/>
                      <w:szCs w:val="20"/>
                    </w:rPr>
                  </w:pPr>
                  <w:r>
                    <w:rPr>
                      <w:rFonts w:asciiTheme="majorHAnsi" w:hAnsiTheme="majorHAnsi" w:cstheme="majorHAnsi"/>
                      <w:i/>
                      <w:sz w:val="20"/>
                      <w:szCs w:val="20"/>
                    </w:rPr>
                    <w:t xml:space="preserve">Kupnja knjiga za obveznu školsku lektiru </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2</w:t>
                  </w:r>
                  <w:r>
                    <w:rPr>
                      <w:rFonts w:asciiTheme="majorHAnsi" w:hAnsiTheme="majorHAnsi" w:cstheme="majorHAnsi"/>
                      <w:sz w:val="20"/>
                      <w:szCs w:val="20"/>
                    </w:rPr>
                    <w:t xml:space="preserve">0</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2</w:t>
                  </w:r>
                  <w:r>
                    <w:rPr>
                      <w:rFonts w:asciiTheme="majorHAnsi" w:hAnsiTheme="majorHAnsi" w:cstheme="majorHAnsi"/>
                      <w:sz w:val="20"/>
                      <w:szCs w:val="20"/>
                    </w:rPr>
                    <w:t xml:space="preserve">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szCs w:val="20"/>
                    </w:rPr>
                  </w:pPr>
                  <w:r>
                    <w:rPr>
                      <w:rFonts w:asciiTheme="majorHAnsi" w:hAnsiTheme="majorHAnsi" w:cstheme="majorHAnsi"/>
                      <w:sz w:val="20"/>
                      <w:szCs w:val="20"/>
                    </w:rPr>
                    <w:t xml:space="preserve">Za aktivnost pod </w:t>
                  </w:r>
                  <w:r>
                    <w:rPr>
                      <w:rFonts w:asciiTheme="majorHAnsi" w:hAnsiTheme="majorHAnsi" w:cstheme="majorHAnsi"/>
                      <w:sz w:val="20"/>
                      <w:szCs w:val="20"/>
                    </w:rPr>
                    <w:t xml:space="preserve">3</w:t>
                  </w:r>
                  <w:r>
                    <w:rPr>
                      <w:rFonts w:asciiTheme="majorHAnsi" w:hAnsiTheme="majorHAnsi" w:cstheme="majorHAnsi"/>
                      <w:sz w:val="20"/>
                      <w:szCs w:val="20"/>
                    </w:rPr>
                    <w:t xml:space="preserve">. – </w:t>
                  </w:r>
                </w:p>
                <w:p>
                  <w:pPr>
                    <w:spacing/>
                    <w:rPr>
                      <w:rFonts w:asciiTheme="majorHAnsi" w:hAnsiTheme="majorHAnsi" w:cstheme="majorHAnsi"/>
                      <w:sz w:val="20"/>
                      <w:szCs w:val="20"/>
                    </w:rPr>
                  </w:pPr>
                  <w:r>
                    <w:rPr>
                      <w:rFonts w:asciiTheme="majorHAnsi" w:hAnsiTheme="majorHAnsi" w:cstheme="majorHAnsi"/>
                      <w:i/>
                      <w:sz w:val="20"/>
                      <w:szCs w:val="20"/>
                    </w:rPr>
                    <w:t xml:space="preserve">Za svakog učenika osigurano </w:t>
                  </w:r>
                  <w:r>
                    <w:rPr>
                      <w:rFonts w:asciiTheme="majorHAnsi" w:hAnsiTheme="majorHAnsi" w:cstheme="majorHAnsi"/>
                      <w:i/>
                      <w:sz w:val="20"/>
                      <w:szCs w:val="20"/>
                    </w:rPr>
                    <w:t xml:space="preserve">svježe voće, povrće ili mlijeko</w:t>
                  </w:r>
                  <w:r>
                    <w:rPr>
                      <w:rFonts w:asciiTheme="majorHAnsi" w:hAnsiTheme="majorHAnsi" w:cstheme="majorHAnsi"/>
                      <w:i/>
                      <w:sz w:val="20"/>
                      <w:szCs w:val="20"/>
                    </w:rPr>
                    <w:t xml:space="preserve"> minimalno jednom tjedno</w:t>
                  </w:r>
                </w:p>
              </w:tc>
              <w:tc>
                <w:tcPr>
                  <w:tcW w:type="dxa" w:w="126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328</w:t>
                  </w:r>
                </w:p>
              </w:tc>
              <w:tc>
                <w:tcPr>
                  <w:tcW w:type="dxa" w:w="1405"/>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szCs w:val="20"/>
                    </w:rPr>
                  </w:pPr>
                  <w:r>
                    <w:rPr>
                      <w:rFonts w:asciiTheme="majorHAnsi" w:hAnsiTheme="majorHAnsi" w:cstheme="majorHAnsi"/>
                      <w:sz w:val="20"/>
                      <w:szCs w:val="20"/>
                    </w:rPr>
                    <w:t xml:space="preserve">328</w:t>
                  </w:r>
                </w:p>
              </w:tc>
            </w:tr>
          </w:tbl>
          <w:p>
            <w:pPr>
              <w:spacing/>
              <w:rPr>
                <w:rFonts w:asciiTheme="majorHAnsi" w:hAnsiTheme="majorHAnsi" w:cstheme="majorHAnsi"/>
                <w:bCs/>
              </w:rPr>
            </w:pPr>
          </w:p>
        </w:tc>
      </w:tr>
      <w:tr>
        <w:trPr>
          <w:gridAfter w:val="1"/>
          <w:wAfter w:type="dxa" w:w="123"/>
        </w:trPr>
        <w:tc>
          <w:tcPr>
            <w:tcW w:type="dxa" w:w="2448"/>
            <w:gridSpan w:val="2"/>
            <w:tcBorders>
              <w:top w:val="single" w:color="auto" w:sz="12" w:space="0"/>
              <w:left w:val="single" w:color="auto" w:sz="12" w:space="0"/>
              <w:bottom w:val="single" w:color="auto" w:sz="12" w:space="0"/>
              <w:right w:val="single" w:color="auto" w:sz="12" w:space="0"/>
            </w:tcBorders>
          </w:tcPr>
          <w:p>
            <w:pPr>
              <w:pStyle w:val="Heading1"/>
              <w:spacing/>
              <w:rPr>
                <w:rFonts w:asciiTheme="majorHAnsi" w:hAnsiTheme="majorHAnsi" w:cstheme="majorHAnsi"/>
                <w:i w:val="0"/>
                <w:u w:val="none"/>
              </w:rPr>
            </w:pPr>
            <w:r>
              <w:rPr>
                <w:rFonts w:asciiTheme="majorHAnsi" w:hAnsiTheme="majorHAnsi" w:cstheme="majorHAnsi"/>
                <w:i w:val="0"/>
                <w:u w:val="none"/>
              </w:rPr>
              <w:t xml:space="preserve">NAZIV PROGRAMA:</w:t>
            </w:r>
          </w:p>
          <w:p>
            <w:pPr>
              <w:spacing/>
              <w:rPr>
                <w:rFonts w:asciiTheme="majorHAnsi" w:hAnsiTheme="majorHAnsi" w:cstheme="majorHAnsi"/>
                <w:bCs/>
                <w:sz w:val="20"/>
              </w:rPr>
            </w:pPr>
          </w:p>
          <w:p>
            <w:pPr>
              <w:spacing/>
              <w:rPr>
                <w:rFonts w:asciiTheme="majorHAnsi" w:hAnsiTheme="majorHAnsi" w:cstheme="majorHAnsi"/>
                <w:bCs/>
                <w:sz w:val="20"/>
              </w:rPr>
            </w:pPr>
            <w:r>
              <w:rPr>
                <w:rFonts w:asciiTheme="majorHAnsi" w:hAnsiTheme="majorHAnsi" w:cstheme="majorHAnsi"/>
                <w:bCs/>
                <w:sz w:val="20"/>
              </w:rPr>
              <w:t xml:space="preserve">OPIS PROGRAMA, OPĆI I POSEBNI CILJEVI:</w:t>
            </w: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r>
              <w:rPr>
                <w:rFonts w:asciiTheme="majorHAnsi" w:hAnsiTheme="majorHAnsi" w:cstheme="majorHAnsi"/>
                <w:bCs/>
                <w:sz w:val="20"/>
              </w:rPr>
              <w:t xml:space="preserve">ZAKONSKA OSNOVA ZA UVOĐENJE PROGRAMA:</w:t>
            </w: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r>
              <w:rPr>
                <w:rFonts w:asciiTheme="majorHAnsi" w:hAnsiTheme="majorHAnsi" w:cstheme="majorHAnsi"/>
                <w:bCs/>
                <w:sz w:val="20"/>
              </w:rPr>
              <w:t xml:space="preserve">2</w:t>
            </w:r>
            <w:r>
              <w:rPr>
                <w:rFonts w:asciiTheme="majorHAnsi" w:hAnsiTheme="majorHAnsi" w:cstheme="majorHAnsi"/>
                <w:bCs/>
                <w:sz w:val="20"/>
              </w:rPr>
              <w:t xml:space="preserve">. REBALANSA FINANCIJSKOG PLANA ZA 2023</w:t>
            </w: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r>
              <w:rPr>
                <w:rFonts w:asciiTheme="majorHAnsi" w:hAnsiTheme="majorHAnsi" w:cstheme="majorHAnsi"/>
                <w:bCs/>
                <w:sz w:val="20"/>
              </w:rPr>
              <w:t xml:space="preserve">POKAZATELJI USPJEŠNOSTI:</w:t>
            </w: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p>
            <w:pPr>
              <w:spacing/>
              <w:rPr>
                <w:rFonts w:asciiTheme="majorHAnsi" w:hAnsiTheme="majorHAnsi" w:cstheme="majorHAnsi"/>
                <w:bCs/>
                <w:sz w:val="20"/>
              </w:rPr>
            </w:pPr>
          </w:p>
        </w:tc>
        <w:tc>
          <w:tcPr>
            <w:tcW w:type="dxa" w:w="236"/>
            <w:gridSpan w:val="2"/>
            <w:tcBorders>
              <w:top w:val="nil"/>
              <w:left w:val="single" w:color="auto" w:sz="12" w:space="0"/>
              <w:bottom w:val="nil"/>
              <w:right w:val="single" w:color="auto" w:sz="12" w:space="0"/>
            </w:tcBorders>
          </w:tcPr>
          <w:p>
            <w:pPr>
              <w:spacing/>
              <w:rPr>
                <w:rFonts w:asciiTheme="majorHAnsi" w:hAnsiTheme="majorHAnsi" w:cstheme="majorHAnsi"/>
                <w:sz w:val="20"/>
              </w:rPr>
            </w:pPr>
          </w:p>
        </w:tc>
        <w:tc>
          <w:tcPr>
            <w:tcW w:type="dxa" w:w="7128"/>
            <w:gridSpan w:val="2"/>
            <w:tcBorders>
              <w:top w:val="single" w:color="auto" w:sz="12" w:space="0"/>
              <w:left w:val="single" w:color="auto" w:sz="12" w:space="0"/>
              <w:bottom w:val="single" w:color="auto" w:sz="12" w:space="0"/>
              <w:right w:val="single" w:color="auto" w:sz="12" w:space="0"/>
            </w:tcBorders>
          </w:tcPr>
          <w:p>
            <w:pPr>
              <w:spacing w:after="0" w:line="240" w:lineRule="auto"/>
              <w:jc w:val="both"/>
              <w:rPr>
                <w:rFonts w:asciiTheme="majorHAnsi" w:hAnsiTheme="majorHAnsi" w:eastAsia="Times New Roman" w:cstheme="majorHAnsi"/>
                <w:b/>
                <w:caps/>
                <w:szCs w:val="20"/>
              </w:rPr>
            </w:pPr>
            <w:r>
              <w:rPr>
                <w:rFonts w:asciiTheme="majorHAnsi" w:hAnsiTheme="majorHAnsi" w:eastAsia="Times New Roman" w:cstheme="majorHAnsi"/>
                <w:b/>
                <w:caps/>
                <w:szCs w:val="20"/>
              </w:rPr>
              <w:t xml:space="preserve">7011 FINANCIRANJE ŠKOLSTVA IZVAN ŽUPANIJSKOG PRORAČUNA</w:t>
            </w:r>
          </w:p>
          <w:p>
            <w:pPr>
              <w:spacing w:after="0" w:line="240" w:lineRule="auto"/>
              <w:jc w:val="both"/>
              <w:rPr>
                <w:rFonts w:asciiTheme="majorHAnsi" w:hAnsiTheme="majorHAnsi" w:eastAsia="Times New Roman" w:cstheme="majorHAnsi"/>
                <w:szCs w:val="20"/>
              </w:rPr>
            </w:pP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Djelatnost srednjoškolskog odgoja i obrazovanja ostvaruje se u skladu s odredbama Zakona o odgoju i obrazovanju u osnovnoj i srednjoj školi podzakonskim aktima (Pravilnicima), Zakona o ustanovama, naputcima savjetnika Agencije za odgoj i obrazovanje, odnosno voditelja Županijskih stručnih vijeća te Upravnog odjela za obrazovanje i mlade Osječko-baranjske županije.</w:t>
            </w:r>
          </w:p>
          <w:p>
            <w:pPr>
              <w:spacing w:after="0" w:line="240" w:lineRule="auto"/>
              <w:jc w:val="both"/>
              <w:rPr>
                <w:rFonts w:asciiTheme="majorHAnsi" w:hAnsiTheme="majorHAnsi" w:eastAsia="Times New Roman" w:cstheme="majorHAnsi"/>
                <w:sz w:val="20"/>
                <w:szCs w:val="18"/>
              </w:rPr>
            </w:pPr>
          </w:p>
          <w:p>
            <w:pPr>
              <w:spacing w:after="0" w:line="240" w:lineRule="auto"/>
              <w:jc w:val="both"/>
              <w:rPr>
                <w:rFonts w:asciiTheme="majorHAnsi" w:hAnsiTheme="majorHAnsi" w:eastAsia="Times New Roman" w:cstheme="majorHAnsi"/>
                <w:color w:val="FF0000"/>
                <w:sz w:val="20"/>
                <w:szCs w:val="18"/>
              </w:rPr>
            </w:pPr>
            <w:r>
              <w:rPr>
                <w:rFonts w:asciiTheme="majorHAnsi" w:hAnsiTheme="majorHAnsi" w:eastAsia="Times New Roman" w:cstheme="majorHAnsi"/>
                <w:sz w:val="20"/>
                <w:szCs w:val="18"/>
              </w:rPr>
              <w:t xml:space="preserve">Kroz navedeni program (izvor financiranje 5410) cilj je osigurati plaće sa svim doprinosima za sve djelatnike škole. Osim toga, osigurani su dodaci u vidu božićnice, regresa, otpremnina, pomoći za dugotrajno bolovanje i sl.</w:t>
            </w:r>
            <w:r>
              <w:rPr>
                <w:rFonts w:asciiTheme="majorHAnsi" w:hAnsiTheme="majorHAnsi" w:eastAsia="Times New Roman" w:cstheme="majorHAnsi"/>
                <w:sz w:val="20"/>
                <w:szCs w:val="18"/>
              </w:rPr>
              <w:t xml:space="preserve"> </w:t>
            </w:r>
          </w:p>
          <w:p>
            <w:pPr>
              <w:spacing w:after="0" w:line="240" w:lineRule="auto"/>
              <w:jc w:val="both"/>
              <w:rPr>
                <w:rFonts w:asciiTheme="majorHAnsi" w:hAnsiTheme="majorHAnsi" w:eastAsia="Times New Roman" w:cstheme="majorHAnsi"/>
                <w:sz w:val="20"/>
                <w:szCs w:val="18"/>
              </w:rPr>
            </w:pP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Kroz izvor 3210 navedenog programa cilj je </w:t>
            </w:r>
            <w:r>
              <w:rPr>
                <w:rFonts w:asciiTheme="majorHAnsi" w:hAnsiTheme="majorHAnsi" w:eastAsia="Times New Roman" w:cstheme="majorHAnsi"/>
                <w:sz w:val="20"/>
                <w:szCs w:val="18"/>
              </w:rPr>
              <w:t xml:space="preserve">unaprjeđivati nastavu kontinuiranim ulaganjem u školsku opremu te njezino održavanje. </w:t>
            </w:r>
          </w:p>
          <w:p>
            <w:pPr>
              <w:spacing w:after="0" w:line="240" w:lineRule="auto"/>
              <w:jc w:val="both"/>
              <w:rPr>
                <w:rFonts w:asciiTheme="majorHAnsi" w:hAnsiTheme="majorHAnsi" w:eastAsia="Times New Roman" w:cstheme="majorHAnsi"/>
                <w:sz w:val="20"/>
                <w:szCs w:val="18"/>
              </w:rPr>
            </w:pP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Programom 7011 Škola primijenjene umjetnosti i dizajna također ostvaruje prihode iz izvora 4910 (Prihod za posebne namjene). Većina prihoda</w:t>
            </w:r>
            <w:r>
              <w:rPr>
                <w:rFonts w:asciiTheme="majorHAnsi" w:hAnsiTheme="majorHAnsi" w:eastAsia="Times New Roman" w:cstheme="majorHAnsi"/>
                <w:sz w:val="20"/>
                <w:szCs w:val="18"/>
              </w:rPr>
              <w:t xml:space="preserve"> ostvarena je kroz participacije učenika i</w:t>
            </w:r>
            <w:r>
              <w:rPr>
                <w:rFonts w:asciiTheme="majorHAnsi" w:hAnsiTheme="majorHAnsi" w:eastAsia="Times New Roman" w:cstheme="majorHAnsi"/>
                <w:sz w:val="20"/>
                <w:szCs w:val="18"/>
              </w:rPr>
              <w:t xml:space="preserve"> namijenjena je za </w:t>
            </w:r>
            <w:r>
              <w:rPr>
                <w:rFonts w:asciiTheme="majorHAnsi" w:hAnsiTheme="majorHAnsi" w:eastAsia="Times New Roman" w:cstheme="majorHAnsi"/>
                <w:sz w:val="20"/>
                <w:szCs w:val="18"/>
              </w:rPr>
              <w:t xml:space="preserve">nastavne materijale pa je shodno tome cilj osigurati kvalitetnu nastavu svim uče</w:t>
            </w:r>
            <w:r>
              <w:rPr>
                <w:rFonts w:asciiTheme="majorHAnsi" w:hAnsiTheme="majorHAnsi" w:eastAsia="Times New Roman" w:cstheme="majorHAnsi"/>
                <w:sz w:val="20"/>
                <w:szCs w:val="18"/>
              </w:rPr>
              <w:t xml:space="preserve">nicima</w:t>
            </w:r>
          </w:p>
          <w:p>
            <w:pPr>
              <w:spacing w:after="0" w:line="240" w:lineRule="auto"/>
              <w:jc w:val="both"/>
              <w:rPr>
                <w:rFonts w:asciiTheme="majorHAnsi" w:hAnsiTheme="majorHAnsi" w:eastAsia="Times New Roman" w:cstheme="majorHAnsi"/>
                <w:sz w:val="20"/>
                <w:szCs w:val="18"/>
              </w:rPr>
            </w:pPr>
          </w:p>
          <w:p>
            <w:pPr>
              <w:spacing w:after="0" w:line="240" w:lineRule="auto"/>
              <w:jc w:val="both"/>
              <w:rPr>
                <w:rFonts w:asciiTheme="majorHAnsi" w:hAnsiTheme="majorHAnsi" w:eastAsia="Times New Roman" w:cstheme="majorHAnsi"/>
                <w:szCs w:val="20"/>
              </w:rPr>
            </w:pPr>
          </w:p>
          <w:p>
            <w:pPr>
              <w:spacing w:after="0" w:line="240" w:lineRule="auto"/>
              <w:jc w:val="both"/>
              <w:rPr>
                <w:rFonts w:asciiTheme="majorHAnsi" w:hAnsiTheme="majorHAnsi" w:eastAsia="Times New Roman" w:cstheme="majorHAnsi"/>
                <w:i/>
                <w:sz w:val="20"/>
                <w:szCs w:val="18"/>
              </w:rPr>
            </w:pPr>
            <w:r>
              <w:rPr>
                <w:rFonts w:asciiTheme="majorHAnsi" w:hAnsiTheme="majorHAnsi" w:eastAsia="Times New Roman" w:cstheme="majorHAnsi"/>
                <w:i/>
                <w:sz w:val="20"/>
                <w:szCs w:val="18"/>
              </w:rPr>
              <w:t xml:space="preserve">Zakonska osnova za provođenje programa:</w:t>
            </w: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Zakon o odgoju i obrazovanju u osnovnoj i srednjoj školi (Narodne novine broj 87/08, 86/09, 92/10,105/10, 90/11, 5/12,16/12, 86/12, 126/12, 94/13,152/14 , 07/17, 68/18, 98/19 i 64/20) </w:t>
            </w: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Zakon o ustanovama (Narodne novine broj 76/93, 29/97,47/99, 35/08 i 127/19)</w:t>
            </w: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Zakon o proračunu </w:t>
            </w:r>
            <w:r>
              <w:rPr>
                <w:rFonts w:asciiTheme="majorHAnsi" w:hAnsiTheme="majorHAnsi" w:eastAsia="Times New Roman" w:cstheme="majorHAnsi"/>
                <w:sz w:val="20"/>
                <w:szCs w:val="18"/>
              </w:rPr>
              <w:t xml:space="preserve">(Narodne novine broj 144/21), </w:t>
            </w:r>
            <w:r>
              <w:rPr>
                <w:rFonts w:asciiTheme="majorHAnsi" w:hAnsiTheme="majorHAnsi" w:eastAsia="Times New Roman" w:cstheme="majorHAnsi"/>
                <w:sz w:val="20"/>
                <w:szCs w:val="18"/>
              </w:rPr>
              <w:t xml:space="preserve">Pravilnik o proračunskim klasifikacijama (Narodne novine broj 26/10, 120/13 i 001/20), Pravilnik o proračunskom računovodstvu i računskom planu (Narodne novine broj 124/14, 115/15, 87/16, 003/18, 126/19 i 108/20), Zakon o fiskalnoj odgovornosti (Narodne novine broj 111/18)</w:t>
            </w:r>
          </w:p>
          <w:p>
            <w:pPr>
              <w:spacing w:after="0" w:line="240" w:lineRule="auto"/>
              <w:jc w:val="both"/>
              <w:rPr>
                <w:rFonts w:asciiTheme="majorHAnsi" w:hAnsiTheme="majorHAnsi" w:eastAsia="Times New Roman" w:cstheme="majorHAnsi"/>
                <w:sz w:val="20"/>
                <w:szCs w:val="18"/>
              </w:rPr>
            </w:pPr>
            <w:r>
              <w:rPr>
                <w:rFonts w:asciiTheme="majorHAnsi" w:hAnsiTheme="majorHAnsi" w:eastAsia="Times New Roman" w:cstheme="majorHAnsi"/>
                <w:sz w:val="20"/>
                <w:szCs w:val="18"/>
              </w:rPr>
              <w:t xml:space="preserve">Upute za izradu Proračuna Osječko-baranjske župa</w:t>
            </w:r>
            <w:r>
              <w:rPr>
                <w:rFonts w:asciiTheme="majorHAnsi" w:hAnsiTheme="majorHAnsi" w:eastAsia="Times New Roman" w:cstheme="majorHAnsi"/>
                <w:sz w:val="20"/>
                <w:szCs w:val="18"/>
              </w:rPr>
              <w:t xml:space="preserve">nije za razdoblje 2023.-2025. </w:t>
            </w:r>
          </w:p>
          <w:p>
            <w:pPr>
              <w:spacing/>
              <w:rPr>
                <w:rFonts w:asciiTheme="majorHAnsi" w:hAnsiTheme="majorHAnsi" w:cstheme="majorHAnsi"/>
                <w:i/>
              </w:rPr>
            </w:pPr>
          </w:p>
          <w:p>
            <w:pPr>
              <w:spacing/>
              <w:rPr>
                <w:rFonts w:asciiTheme="majorHAnsi" w:hAnsiTheme="majorHAnsi" w:cstheme="majorHAnsi"/>
                <w:i/>
              </w:rPr>
            </w:pPr>
            <w:r>
              <w:rPr>
                <w:rFonts w:asciiTheme="majorHAnsi" w:hAnsiTheme="majorHAnsi" w:cstheme="majorHAnsi"/>
                <w:i/>
              </w:rPr>
              <w:t xml:space="preserve">Pregled</w:t>
            </w:r>
            <w:r>
              <w:rPr>
                <w:rFonts w:asciiTheme="majorHAnsi" w:hAnsiTheme="majorHAnsi" w:cstheme="majorHAnsi"/>
                <w:i/>
              </w:rPr>
              <w:t xml:space="preserve"> financijskih sredstava po aktivnostima/projektima unutar programa</w:t>
            </w:r>
            <w:r>
              <w:rPr>
                <w:rFonts w:asciiTheme="majorHAnsi" w:hAnsiTheme="majorHAnsi" w:cstheme="majorHAnsi"/>
                <w:i/>
              </w:rPr>
              <w:t xml:space="preserve">:</w:t>
            </w:r>
          </w:p>
          <w:tbl>
            <w:tblPr>
              <w:tblW w:w="6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
              <w:gridCol w:w="2000"/>
              <w:gridCol w:w="1377"/>
              <w:gridCol w:w="1377"/>
              <w:gridCol w:w="1459"/>
            </w:tblGrid>
            <w:tr>
              <w:trPr>
                <w:cantSplit/>
              </w:trPr>
              <w:tc>
                <w:tcPr>
                  <w:tcW w:type="dxa" w:w="571"/>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bCs/>
                      <w:sz w:val="20"/>
                    </w:rPr>
                  </w:pPr>
                  <w:r>
                    <w:rPr>
                      <w:rFonts w:asciiTheme="majorHAnsi" w:hAnsiTheme="majorHAnsi" w:cstheme="majorHAnsi"/>
                      <w:bCs/>
                      <w:sz w:val="20"/>
                    </w:rPr>
                    <w:t xml:space="preserve">R.b.</w:t>
                  </w:r>
                </w:p>
              </w:tc>
              <w:tc>
                <w:tcPr>
                  <w:tcW w:type="dxa" w:w="200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bCs/>
                      <w:sz w:val="20"/>
                    </w:rPr>
                  </w:pPr>
                  <w:r>
                    <w:rPr>
                      <w:rFonts w:asciiTheme="majorHAnsi" w:hAnsiTheme="majorHAnsi" w:cstheme="majorHAnsi"/>
                      <w:bCs/>
                      <w:sz w:val="20"/>
                    </w:rPr>
                    <w:t xml:space="preserve">Naziv aktivnosti/projekta</w:t>
                  </w:r>
                </w:p>
              </w:tc>
              <w:tc>
                <w:tcPr>
                  <w:tcW w:type="dxa" w:w="1377"/>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202</w:t>
                  </w:r>
                  <w:r>
                    <w:rPr>
                      <w:rFonts w:asciiTheme="majorHAnsi" w:hAnsiTheme="majorHAnsi" w:cstheme="majorHAnsi"/>
                      <w:b w:val="0"/>
                    </w:rPr>
                    <w:t xml:space="preserve">3</w:t>
                  </w:r>
                  <w:r>
                    <w:rPr>
                      <w:rFonts w:asciiTheme="majorHAnsi" w:hAnsiTheme="majorHAnsi" w:cstheme="majorHAnsi"/>
                      <w:b w:val="0"/>
                    </w:rPr>
                    <w:t xml:space="preserve">.</w:t>
                  </w:r>
                </w:p>
              </w:tc>
              <w:tc>
                <w:tcPr>
                  <w:tcW w:type="dxa" w:w="1377"/>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Povećanje / smanjenje </w:t>
                  </w:r>
                </w:p>
              </w:tc>
              <w:tc>
                <w:tcPr>
                  <w:tcW w:type="dxa" w:w="1459"/>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Nova vrijednost</w:t>
                  </w:r>
                </w:p>
              </w:tc>
            </w:tr>
            <w:tr>
              <w:trPr>
                <w:cantSplit/>
                <w:trHeight w:val="486"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tabs>
                      <w:tab w:val="left" w:pos="0"/>
                    </w:tabs>
                    <w:spacing w:after="0" w:line="240" w:lineRule="auto"/>
                    <w:ind w:hanging="720"/>
                    <w:rPr>
                      <w:rFonts w:asciiTheme="majorHAnsi" w:hAnsiTheme="majorHAnsi" w:cstheme="majorHAnsi"/>
                      <w:sz w:val="20"/>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rPr>
                  </w:pPr>
                  <w:r>
                    <w:rPr>
                      <w:rFonts w:asciiTheme="majorHAnsi" w:hAnsiTheme="majorHAnsi" w:cstheme="majorHAnsi"/>
                      <w:sz w:val="16"/>
                    </w:rPr>
                    <w:t xml:space="preserve">Izvor 5410 - Pomoći</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1.</w:t>
                  </w:r>
                  <w:r>
                    <w:rPr>
                      <w:rFonts w:asciiTheme="majorHAnsi" w:hAnsiTheme="majorHAnsi" w:cstheme="majorHAnsi"/>
                      <w:sz w:val="16"/>
                    </w:rPr>
                    <w:t xml:space="preserve">235.366,00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138.382,00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1.373.748,00</w:t>
                  </w:r>
                </w:p>
              </w:tc>
            </w:tr>
            <w:tr>
              <w:trPr>
                <w:cantSplit/>
                <w:trHeight w:val="348"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tabs>
                      <w:tab w:val="left" w:pos="0"/>
                    </w:tabs>
                    <w:spacing w:after="0" w:line="240" w:lineRule="auto"/>
                    <w:ind w:hanging="720"/>
                    <w:rPr>
                      <w:rFonts w:asciiTheme="majorHAnsi" w:hAnsiTheme="majorHAnsi" w:cstheme="majorHAnsi"/>
                      <w:sz w:val="20"/>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rPr>
                  </w:pPr>
                  <w:r>
                    <w:rPr>
                      <w:rFonts w:asciiTheme="majorHAnsi" w:hAnsiTheme="majorHAnsi" w:cstheme="majorHAnsi"/>
                      <w:sz w:val="16"/>
                    </w:rPr>
                    <w:t xml:space="preserve">Izvor 4910 – Prihodi za posebne namjene</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3</w:t>
                  </w:r>
                  <w:r>
                    <w:rPr>
                      <w:rFonts w:asciiTheme="majorHAnsi" w:hAnsiTheme="majorHAnsi" w:cstheme="majorHAnsi"/>
                      <w:sz w:val="16"/>
                    </w:rPr>
                    <w:t xml:space="preserve">0.504,00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4.100,00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34.604,00</w:t>
                  </w:r>
                </w:p>
              </w:tc>
            </w:tr>
            <w:tr>
              <w:trPr>
                <w:cantSplit/>
                <w:trHeight w:val="215"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tabs>
                      <w:tab w:val="left" w:pos="0"/>
                    </w:tabs>
                    <w:spacing w:after="0" w:line="240" w:lineRule="auto"/>
                    <w:ind w:hanging="720"/>
                    <w:rPr>
                      <w:rFonts w:asciiTheme="majorHAnsi" w:hAnsiTheme="majorHAnsi" w:cstheme="majorHAnsi"/>
                      <w:sz w:val="20"/>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rPr>
                  </w:pPr>
                  <w:r>
                    <w:rPr>
                      <w:rFonts w:asciiTheme="majorHAnsi" w:hAnsiTheme="majorHAnsi" w:cstheme="majorHAnsi"/>
                      <w:sz w:val="16"/>
                    </w:rPr>
                    <w:t xml:space="preserve">Izvor 3210 – vlastiti prihodi</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26.497,00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4.863,00 </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31.360,00</w:t>
                  </w:r>
                </w:p>
              </w:tc>
            </w:tr>
            <w:tr>
              <w:trPr>
                <w:cantSplit/>
                <w:trHeight w:val="215"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tabs>
                      <w:tab w:val="left" w:pos="0"/>
                    </w:tabs>
                    <w:spacing w:after="0" w:line="240" w:lineRule="auto"/>
                    <w:ind w:hanging="720"/>
                    <w:rPr>
                      <w:rFonts w:asciiTheme="majorHAnsi" w:hAnsiTheme="majorHAnsi" w:cstheme="majorHAnsi"/>
                      <w:sz w:val="20"/>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rPr>
                  </w:pPr>
                  <w:r>
                    <w:rPr>
                      <w:rFonts w:asciiTheme="majorHAnsi" w:hAnsiTheme="majorHAnsi" w:cstheme="majorHAnsi"/>
                      <w:sz w:val="16"/>
                    </w:rPr>
                    <w:t xml:space="preserve">Izvor 6210 - donacije</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664,00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1.90</w:t>
                  </w:r>
                  <w:r>
                    <w:rPr>
                      <w:rFonts w:asciiTheme="majorHAnsi" w:hAnsiTheme="majorHAnsi" w:cstheme="majorHAnsi"/>
                      <w:sz w:val="16"/>
                    </w:rPr>
                    <w:t xml:space="preserve">0</w:t>
                  </w:r>
                  <w:r>
                    <w:rPr>
                      <w:rFonts w:asciiTheme="majorHAnsi" w:hAnsiTheme="majorHAnsi" w:cstheme="majorHAnsi"/>
                      <w:sz w:val="16"/>
                    </w:rPr>
                    <w:t xml:space="preserve">,00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2.564,00</w:t>
                  </w:r>
                </w:p>
              </w:tc>
            </w:tr>
            <w:tr>
              <w:trPr>
                <w:cantSplit/>
                <w:trHeight w:val="215"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8"/>
                    </w:numPr>
                    <w:tabs>
                      <w:tab w:val="left" w:pos="0"/>
                    </w:tabs>
                    <w:spacing w:after="0" w:line="240" w:lineRule="auto"/>
                    <w:ind w:hanging="720"/>
                    <w:rPr>
                      <w:rFonts w:asciiTheme="majorHAnsi" w:hAnsiTheme="majorHAnsi" w:cstheme="majorHAnsi"/>
                      <w:sz w:val="20"/>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16"/>
                    </w:rPr>
                  </w:pPr>
                  <w:r>
                    <w:rPr>
                      <w:rFonts w:asciiTheme="majorHAnsi" w:hAnsiTheme="majorHAnsi" w:cstheme="majorHAnsi"/>
                      <w:sz w:val="16"/>
                    </w:rPr>
                    <w:t xml:space="preserve">Izvor 7210 – prihodi od nefinancijske imovine</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40,00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sz w:val="16"/>
                    </w:rPr>
                  </w:pPr>
                  <w:r>
                    <w:rPr>
                      <w:rFonts w:asciiTheme="majorHAnsi" w:hAnsiTheme="majorHAnsi" w:cstheme="majorHAnsi"/>
                      <w:sz w:val="16"/>
                    </w:rPr>
                    <w:t xml:space="preserve">40,00</w:t>
                  </w:r>
                </w:p>
              </w:tc>
            </w:tr>
            <w:tr>
              <w:trPr>
                <w:cantSplit/>
              </w:trPr>
              <w:tc>
                <w:tcPr>
                  <w:tcW w:type="dxa" w:w="571"/>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bCs/>
                      <w:sz w:val="20"/>
                    </w:rPr>
                  </w:pPr>
                </w:p>
              </w:tc>
              <w:tc>
                <w:tcPr>
                  <w:tcW w:type="dxa" w:w="2000"/>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bCs/>
                      <w:sz w:val="20"/>
                    </w:rPr>
                  </w:pPr>
                  <w:r>
                    <w:rPr>
                      <w:rFonts w:asciiTheme="majorHAnsi" w:hAnsiTheme="majorHAnsi" w:cstheme="majorHAnsi"/>
                      <w:bCs/>
                      <w:sz w:val="20"/>
                    </w:rPr>
                    <w:t xml:space="preserve">Ukupno program:</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bCs/>
                      <w:sz w:val="20"/>
                    </w:rPr>
                  </w:pPr>
                  <w:r>
                    <w:rPr>
                      <w:rFonts w:asciiTheme="majorHAnsi" w:hAnsiTheme="majorHAnsi" w:cstheme="majorHAnsi"/>
                      <w:bCs/>
                      <w:sz w:val="20"/>
                    </w:rPr>
                    <w:t xml:space="preserve">1.</w:t>
                  </w:r>
                  <w:r>
                    <w:rPr>
                      <w:rFonts w:asciiTheme="majorHAnsi" w:hAnsiTheme="majorHAnsi" w:cstheme="majorHAnsi"/>
                      <w:bCs/>
                      <w:sz w:val="20"/>
                    </w:rPr>
                    <w:t xml:space="preserve">293.071,00</w:t>
                  </w:r>
                </w:p>
              </w:tc>
              <w:tc>
                <w:tcPr>
                  <w:tcW w:type="dxa" w:w="1377"/>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bCs/>
                      <w:sz w:val="20"/>
                    </w:rPr>
                  </w:pPr>
                  <w:r>
                    <w:rPr>
                      <w:rFonts w:asciiTheme="majorHAnsi" w:hAnsiTheme="majorHAnsi" w:cstheme="majorHAnsi"/>
                      <w:bCs/>
                      <w:sz w:val="20"/>
                    </w:rPr>
                    <w:t xml:space="preserve">149.245,00</w:t>
                  </w:r>
                </w:p>
              </w:tc>
              <w:tc>
                <w:tcPr>
                  <w:tcW w:type="dxa" w:w="1459"/>
                  <w:tcBorders>
                    <w:top w:val="single" w:color="auto" w:sz="4" w:space="0"/>
                    <w:left w:val="single" w:color="auto" w:sz="4" w:space="0"/>
                    <w:bottom w:val="single" w:color="auto" w:sz="4" w:space="0"/>
                    <w:right w:val="single" w:color="auto" w:sz="4" w:space="0"/>
                  </w:tcBorders>
                  <w:vAlign w:val="bottom"/>
                </w:tcPr>
                <w:p>
                  <w:pPr>
                    <w:spacing/>
                    <w:jc w:val="center"/>
                    <w:rPr>
                      <w:rFonts w:asciiTheme="majorHAnsi" w:hAnsiTheme="majorHAnsi" w:cstheme="majorHAnsi"/>
                      <w:bCs/>
                      <w:sz w:val="20"/>
                    </w:rPr>
                  </w:pPr>
                  <w:r>
                    <w:rPr>
                      <w:rFonts w:asciiTheme="majorHAnsi" w:hAnsiTheme="majorHAnsi" w:cstheme="majorHAnsi"/>
                      <w:bCs/>
                      <w:sz w:val="20"/>
                    </w:rPr>
                    <w:t xml:space="preserve">1.442.316</w:t>
                  </w:r>
                </w:p>
              </w:tc>
            </w:tr>
          </w:tbl>
          <w:p>
            <w:pPr>
              <w:spacing/>
              <w:rPr>
                <w:rFonts w:asciiTheme="majorHAnsi" w:hAnsiTheme="majorHAnsi" w:cstheme="majorHAnsi"/>
                <w:bCs/>
                <w:sz w:val="20"/>
              </w:rPr>
            </w:pPr>
          </w:p>
          <w:p>
            <w:pPr>
              <w:spacing/>
              <w:rPr>
                <w:rFonts w:asciiTheme="majorHAnsi" w:hAnsiTheme="majorHAnsi" w:cstheme="majorHAnsi"/>
                <w:bCs/>
                <w:sz w:val="20"/>
              </w:rPr>
            </w:pPr>
            <w:r>
              <w:rPr>
                <w:rFonts w:asciiTheme="majorHAnsi" w:hAnsiTheme="majorHAnsi" w:cstheme="majorHAnsi"/>
                <w:bCs/>
                <w:sz w:val="20"/>
              </w:rPr>
              <w:t xml:space="preserve">Sukladno povećanju osnovice za obračun i isplatu plaća te, sredstva na izvoru 5410 (Pomoći) uvećana su u skladu s procjenom. </w:t>
            </w:r>
          </w:p>
          <w:p>
            <w:pPr>
              <w:spacing/>
              <w:rPr>
                <w:rFonts w:asciiTheme="majorHAnsi" w:hAnsiTheme="majorHAnsi" w:cstheme="majorHAnsi"/>
                <w:bCs/>
                <w:sz w:val="20"/>
              </w:rPr>
            </w:pPr>
            <w:r>
              <w:rPr>
                <w:rFonts w:asciiTheme="majorHAnsi" w:hAnsiTheme="majorHAnsi" w:cstheme="majorHAnsi"/>
                <w:bCs/>
                <w:sz w:val="20"/>
              </w:rPr>
              <w:t xml:space="preserve">Odlukom o visini školarine, učenici 1. razreda plaćaju participaciju od 100,00 eur što je više od planiranog 1.rebalansom te je izvor 4910 uvećan </w:t>
            </w:r>
            <w:r>
              <w:rPr>
                <w:rFonts w:asciiTheme="majorHAnsi" w:hAnsiTheme="majorHAnsi" w:cstheme="majorHAnsi"/>
                <w:bCs/>
                <w:sz w:val="20"/>
              </w:rPr>
              <w:t xml:space="preserve">sukladno procjeni i nenaplaćenim prihodima za koje se očekuje da će se naplatiti u 2023. godini.</w:t>
            </w:r>
          </w:p>
          <w:p>
            <w:pPr>
              <w:spacing/>
              <w:rPr>
                <w:rFonts w:asciiTheme="majorHAnsi" w:hAnsiTheme="majorHAnsi" w:cstheme="majorHAnsi"/>
                <w:bCs/>
                <w:sz w:val="20"/>
              </w:rPr>
            </w:pPr>
            <w:r>
              <w:rPr>
                <w:rFonts w:asciiTheme="majorHAnsi" w:hAnsiTheme="majorHAnsi" w:cstheme="majorHAnsi"/>
                <w:bCs/>
                <w:sz w:val="20"/>
              </w:rPr>
              <w:t xml:space="preserve">Dobrim upravljanjem dvoranom i brigom oko naplate dvorane ostvareni su značajni vlastiti prihodi koji su rebalansom uvećani sukladno popunjenosti termina.</w:t>
            </w:r>
          </w:p>
          <w:p>
            <w:pPr>
              <w:spacing/>
              <w:rPr>
                <w:rFonts w:asciiTheme="majorHAnsi" w:hAnsiTheme="majorHAnsi" w:cstheme="majorHAnsi"/>
                <w:bCs/>
                <w:sz w:val="20"/>
              </w:rPr>
            </w:pPr>
            <w:r>
              <w:rPr>
                <w:rFonts w:asciiTheme="majorHAnsi" w:hAnsiTheme="majorHAnsi" w:cstheme="majorHAnsi"/>
                <w:bCs/>
                <w:sz w:val="20"/>
              </w:rPr>
              <w:t xml:space="preserve">Izvor 6210 predstavlja izvor Donacija i odnosi se na uplate putničkih agencija za dnevnice djelatnika za stručne ekskurzije. Ove godine veći je broj stručnih putovanja te je samim time korigiran i izvor. </w:t>
            </w:r>
            <w:r>
              <w:rPr>
                <w:rFonts w:asciiTheme="majorHAnsi" w:hAnsiTheme="majorHAnsi" w:cstheme="majorHAnsi"/>
                <w:bCs/>
                <w:sz w:val="20"/>
              </w:rPr>
              <w:t xml:space="preserve"> </w:t>
            </w:r>
          </w:p>
          <w:p>
            <w:pPr>
              <w:spacing/>
              <w:jc w:val="both"/>
              <w:rPr>
                <w:rFonts w:asciiTheme="majorHAnsi" w:hAnsiTheme="majorHAnsi" w:cstheme="majorHAnsi"/>
                <w:bCs/>
                <w:iCs/>
                <w:sz w:val="20"/>
              </w:rPr>
            </w:pPr>
            <w:r>
              <w:rPr>
                <w:rFonts w:asciiTheme="majorHAnsi" w:hAnsiTheme="majorHAnsi" w:cstheme="majorHAnsi"/>
                <w:bCs/>
                <w:sz w:val="20"/>
              </w:rPr>
              <w:t xml:space="preserve">Sukladno opisanom, vrijednost pokazatelja uspješnosti </w:t>
            </w:r>
            <w:r>
              <w:rPr>
                <w:rFonts w:asciiTheme="majorHAnsi" w:hAnsiTheme="majorHAnsi" w:cstheme="majorHAnsi"/>
                <w:bCs/>
                <w:i/>
                <w:sz w:val="20"/>
              </w:rPr>
              <w:t xml:space="preserve">Izrađena projektno-tehnička dokumentacija za novu zgradu škole (85% izvor 5410, 15% izvor 3210) </w:t>
            </w:r>
            <w:r>
              <w:rPr>
                <w:rFonts w:asciiTheme="majorHAnsi" w:hAnsiTheme="majorHAnsi" w:cstheme="majorHAnsi"/>
                <w:bCs/>
                <w:iCs/>
                <w:sz w:val="20"/>
              </w:rPr>
              <w:t xml:space="preserve">sada iznosi 0. </w:t>
            </w:r>
            <w:r>
              <w:rPr>
                <w:rFonts w:asciiTheme="majorHAnsi" w:hAnsiTheme="majorHAnsi" w:cstheme="majorHAnsi"/>
                <w:bCs/>
                <w:i/>
                <w:iCs/>
                <w:sz w:val="20"/>
              </w:rPr>
              <w:t xml:space="preserve">Postupno i kontinuirano unaprjeđivanje kvalitete nastave kroz realizaciju naprednijih informatičkih rješenja (kupnju računala iz izvora 4910) </w:t>
            </w:r>
            <w:r>
              <w:rPr>
                <w:rFonts w:asciiTheme="majorHAnsi" w:hAnsiTheme="majorHAnsi" w:cstheme="majorHAnsi"/>
                <w:bCs/>
                <w:sz w:val="20"/>
              </w:rPr>
              <w:t xml:space="preserve">uvećano je za 1, a istovremeno je dodan jednak cilj iz izvora 3210 </w:t>
            </w:r>
            <w:r>
              <w:rPr>
                <w:rFonts w:asciiTheme="majorHAnsi" w:hAnsiTheme="majorHAnsi" w:cstheme="majorHAnsi"/>
                <w:bCs/>
                <w:sz w:val="20"/>
              </w:rPr>
              <w:t xml:space="preserve">(4 kom) </w:t>
            </w:r>
            <w:r>
              <w:rPr>
                <w:rFonts w:asciiTheme="majorHAnsi" w:hAnsiTheme="majorHAnsi" w:cstheme="majorHAnsi"/>
                <w:bCs/>
                <w:sz w:val="20"/>
              </w:rPr>
              <w:t xml:space="preserve">te će ukupno biti kupljeno 12 računala. </w:t>
            </w:r>
            <w:r>
              <w:rPr>
                <w:rFonts w:asciiTheme="majorHAnsi" w:hAnsiTheme="majorHAnsi" w:cstheme="majorHAnsi"/>
                <w:bCs/>
                <w:sz w:val="20"/>
              </w:rPr>
              <w:t xml:space="preserve">S obzirom na neodobren projekt OBŽ, pokazatelj</w:t>
            </w:r>
            <w:r>
              <w:rPr>
                <w:rFonts w:asciiTheme="majorHAnsi" w:hAnsiTheme="majorHAnsi" w:cstheme="majorHAnsi"/>
                <w:i/>
                <w:sz w:val="20"/>
              </w:rPr>
              <w:t xml:space="preserve"> </w:t>
            </w:r>
            <w:r>
              <w:rPr>
                <w:rFonts w:asciiTheme="majorHAnsi" w:hAnsiTheme="majorHAnsi" w:cstheme="majorHAnsi"/>
                <w:bCs/>
                <w:i/>
                <w:sz w:val="20"/>
              </w:rPr>
              <w:t xml:space="preserve">Proveden projekt za poticanje učeničkog poduzetništva sufinanciran sredstvima OBŽ (izvor 4910) </w:t>
            </w:r>
            <w:r>
              <w:rPr>
                <w:rFonts w:asciiTheme="majorHAnsi" w:hAnsiTheme="majorHAnsi" w:cstheme="majorHAnsi"/>
                <w:bCs/>
                <w:iCs/>
                <w:sz w:val="20"/>
              </w:rPr>
              <w:t xml:space="preserve">sada iznosi 0.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17"/>
              <w:gridCol w:w="1258"/>
              <w:gridCol w:w="1377"/>
              <w:gridCol w:w="1390"/>
              <w:gridCol w:w="1360"/>
            </w:tblGrid>
            <w:tr>
              <w:trPr>
                <w:cantSplit/>
              </w:trPr>
              <w:tc>
                <w:tcPr>
                  <w:tcW w:type="dxa" w:w="151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bCs/>
                      <w:sz w:val="20"/>
                    </w:rPr>
                  </w:pPr>
                  <w:r>
                    <w:rPr>
                      <w:rFonts w:asciiTheme="majorHAnsi" w:hAnsiTheme="majorHAnsi" w:cstheme="majorHAnsi"/>
                      <w:bCs/>
                      <w:sz w:val="20"/>
                    </w:rPr>
                    <w:t xml:space="preserve">Pokazatelj uspješnosti</w:t>
                  </w:r>
                </w:p>
              </w:tc>
              <w:tc>
                <w:tcPr>
                  <w:tcW w:type="dxa" w:w="1258"/>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Polazna</w:t>
                  </w:r>
                </w:p>
                <w:p>
                  <w:pPr>
                    <w:spacing/>
                    <w:jc w:val="center"/>
                    <w:rPr>
                      <w:rFonts w:asciiTheme="majorHAnsi" w:hAnsiTheme="majorHAnsi" w:cstheme="majorHAnsi"/>
                      <w:sz w:val="20"/>
                    </w:rPr>
                  </w:pPr>
                  <w:r>
                    <w:rPr>
                      <w:rFonts w:asciiTheme="majorHAnsi" w:hAnsiTheme="majorHAnsi" w:cstheme="majorHAnsi"/>
                      <w:sz w:val="20"/>
                    </w:rPr>
                    <w:t xml:space="preserve">vrijednost</w:t>
                  </w:r>
                </w:p>
              </w:tc>
              <w:tc>
                <w:tcPr>
                  <w:tcW w:type="dxa" w:w="1377"/>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Ciljana</w:t>
                  </w:r>
                </w:p>
                <w:p>
                  <w:pPr>
                    <w:pStyle w:val="Heading7"/>
                    <w:spacing/>
                    <w:rPr>
                      <w:rFonts w:asciiTheme="majorHAnsi" w:hAnsiTheme="majorHAnsi" w:cstheme="majorHAnsi"/>
                      <w:b w:val="0"/>
                    </w:rPr>
                  </w:pPr>
                  <w:r>
                    <w:rPr>
                      <w:rFonts w:asciiTheme="majorHAnsi" w:hAnsiTheme="majorHAnsi" w:cstheme="majorHAnsi"/>
                      <w:b w:val="0"/>
                    </w:rPr>
                    <w:t xml:space="preserve">vrijednost</w:t>
                  </w:r>
                </w:p>
                <w:p>
                  <w:pPr>
                    <w:pStyle w:val="Heading7"/>
                    <w:spacing/>
                    <w:rPr>
                      <w:rFonts w:asciiTheme="majorHAnsi" w:hAnsiTheme="majorHAnsi" w:cstheme="majorHAnsi"/>
                      <w:b w:val="0"/>
                    </w:rPr>
                  </w:pPr>
                  <w:r>
                    <w:rPr>
                      <w:rFonts w:asciiTheme="majorHAnsi" w:hAnsiTheme="majorHAnsi" w:cstheme="majorHAnsi"/>
                      <w:b w:val="0"/>
                    </w:rPr>
                    <w:t xml:space="preserve">202</w:t>
                  </w:r>
                  <w:r>
                    <w:rPr>
                      <w:rFonts w:asciiTheme="majorHAnsi" w:hAnsiTheme="majorHAnsi" w:cstheme="majorHAnsi"/>
                      <w:b w:val="0"/>
                    </w:rPr>
                    <w:t xml:space="preserve">3</w:t>
                  </w:r>
                  <w:r>
                    <w:rPr>
                      <w:rFonts w:asciiTheme="majorHAnsi" w:hAnsiTheme="majorHAnsi" w:cstheme="majorHAnsi"/>
                      <w:b w:val="0"/>
                    </w:rPr>
                    <w:t xml:space="preserve">.</w:t>
                  </w:r>
                </w:p>
              </w:tc>
              <w:tc>
                <w:tcPr>
                  <w:tcW w:type="dxa" w:w="1390"/>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Povećanje / smanjenje </w:t>
                  </w:r>
                </w:p>
              </w:tc>
              <w:tc>
                <w:tcPr>
                  <w:tcW w:type="dxa" w:w="1360"/>
                  <w:tcBorders>
                    <w:top w:val="single" w:color="auto" w:sz="4" w:space="0"/>
                    <w:left w:val="single" w:color="auto" w:sz="4" w:space="0"/>
                    <w:bottom w:val="single" w:color="auto" w:sz="4" w:space="0"/>
                    <w:right w:val="single" w:color="auto" w:sz="4" w:space="0"/>
                  </w:tcBorders>
                  <w:vAlign w:val="center"/>
                </w:tcPr>
                <w:p>
                  <w:pPr>
                    <w:pStyle w:val="Heading7"/>
                    <w:spacing/>
                    <w:rPr>
                      <w:rFonts w:asciiTheme="majorHAnsi" w:hAnsiTheme="majorHAnsi" w:cstheme="majorHAnsi"/>
                      <w:b w:val="0"/>
                    </w:rPr>
                  </w:pPr>
                  <w:r>
                    <w:rPr>
                      <w:rFonts w:asciiTheme="majorHAnsi" w:hAnsiTheme="majorHAnsi" w:cstheme="majorHAnsi"/>
                      <w:b w:val="0"/>
                    </w:rPr>
                    <w:t xml:space="preserve">Nova vrijednost</w:t>
                  </w:r>
                </w:p>
              </w:tc>
            </w:tr>
            <w:tr>
              <w:trPr>
                <w:cantSplit/>
              </w:trPr>
              <w:tc>
                <w:tcPr>
                  <w:tcW w:type="dxa" w:w="1517"/>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rPr>
                  </w:pPr>
                  <w:r>
                    <w:rPr>
                      <w:rFonts w:asciiTheme="majorHAnsi" w:hAnsiTheme="majorHAnsi" w:cstheme="majorHAnsi"/>
                      <w:sz w:val="20"/>
                    </w:rPr>
                    <w:t xml:space="preserve">Za aktivnost pod 7. – </w:t>
                  </w:r>
                </w:p>
                <w:p>
                  <w:pPr>
                    <w:spacing/>
                    <w:rPr>
                      <w:rFonts w:asciiTheme="majorHAnsi" w:hAnsiTheme="majorHAnsi" w:cstheme="majorHAnsi"/>
                      <w:i/>
                      <w:sz w:val="20"/>
                    </w:rPr>
                  </w:pPr>
                  <w:r>
                    <w:rPr>
                      <w:rFonts w:asciiTheme="majorHAnsi" w:hAnsiTheme="majorHAnsi" w:cstheme="majorHAnsi"/>
                      <w:i/>
                      <w:sz w:val="20"/>
                    </w:rPr>
                    <w:t xml:space="preserve">Osigurani nastavni materijali za učenike </w:t>
                  </w:r>
                  <w:r>
                    <w:rPr>
                      <w:rFonts w:asciiTheme="majorHAnsi" w:hAnsiTheme="majorHAnsi" w:cstheme="majorHAnsi"/>
                      <w:i/>
                      <w:sz w:val="20"/>
                    </w:rPr>
                    <w:t xml:space="preserve">(izvor 4910)</w:t>
                  </w:r>
                </w:p>
              </w:tc>
              <w:tc>
                <w:tcPr>
                  <w:tcW w:type="dxa" w:w="1258"/>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7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328</w:t>
                  </w:r>
                </w:p>
              </w:tc>
              <w:tc>
                <w:tcPr>
                  <w:tcW w:type="dxa" w:w="139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6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328</w:t>
                  </w:r>
                </w:p>
              </w:tc>
            </w:tr>
            <w:tr>
              <w:trPr>
                <w:cantSplit/>
              </w:trPr>
              <w:tc>
                <w:tcPr>
                  <w:tcW w:type="dxa" w:w="1517"/>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rPr>
                  </w:pPr>
                  <w:r>
                    <w:rPr>
                      <w:rFonts w:asciiTheme="majorHAnsi" w:hAnsiTheme="majorHAnsi" w:cstheme="majorHAnsi"/>
                      <w:sz w:val="20"/>
                    </w:rPr>
                    <w:t xml:space="preserve">Za aktivnost pod 7. – </w:t>
                  </w:r>
                </w:p>
                <w:p>
                  <w:pPr>
                    <w:spacing/>
                    <w:rPr>
                      <w:rFonts w:asciiTheme="majorHAnsi" w:hAnsiTheme="majorHAnsi" w:cstheme="majorHAnsi"/>
                      <w:sz w:val="20"/>
                    </w:rPr>
                  </w:pPr>
                  <w:r>
                    <w:rPr>
                      <w:rFonts w:asciiTheme="majorHAnsi" w:hAnsiTheme="majorHAnsi" w:cstheme="majorHAnsi"/>
                      <w:i/>
                      <w:sz w:val="20"/>
                    </w:rPr>
                    <w:t xml:space="preserve">Postupno i kontinuirano unaprjeđivanje kvalitete nastave kroz realizaciju naprednijih informatičkih rješenja (kupnju računala</w:t>
                  </w:r>
                  <w:r>
                    <w:rPr>
                      <w:rFonts w:asciiTheme="majorHAnsi" w:hAnsiTheme="majorHAnsi" w:cstheme="majorHAnsi"/>
                      <w:i/>
                      <w:sz w:val="20"/>
                    </w:rPr>
                    <w:t xml:space="preserve"> iz izvora 4910</w:t>
                  </w:r>
                  <w:r>
                    <w:rPr>
                      <w:rFonts w:asciiTheme="majorHAnsi" w:hAnsiTheme="majorHAnsi" w:cstheme="majorHAnsi"/>
                      <w:i/>
                      <w:sz w:val="20"/>
                    </w:rPr>
                    <w:t xml:space="preserve">)</w:t>
                  </w:r>
                </w:p>
              </w:tc>
              <w:tc>
                <w:tcPr>
                  <w:tcW w:type="dxa" w:w="1258"/>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7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8</w:t>
                  </w:r>
                </w:p>
              </w:tc>
              <w:tc>
                <w:tcPr>
                  <w:tcW w:type="dxa" w:w="139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6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8</w:t>
                  </w:r>
                </w:p>
              </w:tc>
            </w:tr>
            <w:tr>
              <w:trPr>
                <w:cantSplit/>
              </w:trPr>
              <w:tc>
                <w:tcPr>
                  <w:tcW w:type="dxa" w:w="1517"/>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rPr>
                  </w:pPr>
                  <w:r>
                    <w:rPr>
                      <w:rFonts w:asciiTheme="majorHAnsi" w:hAnsiTheme="majorHAnsi" w:cstheme="majorHAnsi"/>
                      <w:sz w:val="20"/>
                    </w:rPr>
                    <w:t xml:space="preserve">Za aktivnost pod 7. – </w:t>
                  </w:r>
                </w:p>
                <w:p>
                  <w:pPr>
                    <w:spacing/>
                    <w:rPr>
                      <w:rFonts w:asciiTheme="majorHAnsi" w:hAnsiTheme="majorHAnsi" w:cstheme="majorHAnsi"/>
                      <w:sz w:val="20"/>
                    </w:rPr>
                  </w:pPr>
                  <w:r>
                    <w:rPr>
                      <w:rFonts w:asciiTheme="majorHAnsi" w:hAnsiTheme="majorHAnsi" w:cstheme="majorHAnsi"/>
                      <w:i/>
                      <w:sz w:val="20"/>
                    </w:rPr>
                    <w:t xml:space="preserve">Postupno i kontinuirano unaprjeđivanje kvalitete nastave kroz realizaciju naprednijih informatičkih rješenja (kupnju računala iz izvora 3210)</w:t>
                  </w:r>
                </w:p>
              </w:tc>
              <w:tc>
                <w:tcPr>
                  <w:tcW w:type="dxa" w:w="1258"/>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7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4</w:t>
                  </w:r>
                </w:p>
              </w:tc>
              <w:tc>
                <w:tcPr>
                  <w:tcW w:type="dxa" w:w="139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6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4</w:t>
                  </w:r>
                </w:p>
              </w:tc>
            </w:tr>
            <w:tr>
              <w:trPr>
                <w:cantSplit/>
              </w:trPr>
              <w:tc>
                <w:tcPr>
                  <w:tcW w:type="dxa" w:w="1517"/>
                  <w:tcBorders>
                    <w:top w:val="single" w:color="auto" w:sz="4" w:space="0"/>
                    <w:left w:val="single" w:color="auto" w:sz="4" w:space="0"/>
                    <w:bottom w:val="single" w:color="auto" w:sz="4" w:space="0"/>
                    <w:right w:val="single" w:color="auto" w:sz="4" w:space="0"/>
                  </w:tcBorders>
                </w:tcPr>
                <w:p>
                  <w:pPr>
                    <w:spacing/>
                    <w:rPr>
                      <w:rFonts w:asciiTheme="majorHAnsi" w:hAnsiTheme="majorHAnsi" w:cstheme="majorHAnsi"/>
                      <w:sz w:val="20"/>
                    </w:rPr>
                  </w:pPr>
                  <w:r>
                    <w:rPr>
                      <w:rFonts w:asciiTheme="majorHAnsi" w:hAnsiTheme="majorHAnsi" w:cstheme="majorHAnsi"/>
                      <w:sz w:val="20"/>
                    </w:rPr>
                    <w:t xml:space="preserve">Za aktivnost pod </w:t>
                  </w:r>
                  <w:r>
                    <w:rPr>
                      <w:rFonts w:asciiTheme="majorHAnsi" w:hAnsiTheme="majorHAnsi" w:cstheme="majorHAnsi"/>
                      <w:sz w:val="20"/>
                    </w:rPr>
                    <w:t xml:space="preserve">6</w:t>
                  </w:r>
                  <w:r>
                    <w:rPr>
                      <w:rFonts w:asciiTheme="majorHAnsi" w:hAnsiTheme="majorHAnsi" w:cstheme="majorHAnsi"/>
                      <w:sz w:val="20"/>
                    </w:rPr>
                    <w:t xml:space="preserve">. – </w:t>
                  </w:r>
                </w:p>
                <w:p>
                  <w:pPr>
                    <w:spacing/>
                    <w:rPr>
                      <w:rFonts w:asciiTheme="majorHAnsi" w:hAnsiTheme="majorHAnsi" w:cstheme="majorHAnsi"/>
                      <w:sz w:val="20"/>
                    </w:rPr>
                  </w:pPr>
                  <w:r>
                    <w:rPr>
                      <w:rFonts w:asciiTheme="majorHAnsi" w:hAnsiTheme="majorHAnsi" w:cstheme="majorHAnsi"/>
                      <w:sz w:val="20"/>
                    </w:rPr>
                    <w:t xml:space="preserve">Stručne ekskurzije</w:t>
                  </w:r>
                </w:p>
              </w:tc>
              <w:tc>
                <w:tcPr>
                  <w:tcW w:type="dxa" w:w="1258"/>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77"/>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0</w:t>
                  </w:r>
                </w:p>
              </w:tc>
              <w:tc>
                <w:tcPr>
                  <w:tcW w:type="dxa" w:w="139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4</w:t>
                  </w:r>
                </w:p>
              </w:tc>
              <w:tc>
                <w:tcPr>
                  <w:tcW w:type="dxa" w:w="1360"/>
                  <w:tcBorders>
                    <w:top w:val="single" w:color="auto" w:sz="4" w:space="0"/>
                    <w:left w:val="single" w:color="auto" w:sz="4" w:space="0"/>
                    <w:bottom w:val="single" w:color="auto" w:sz="4" w:space="0"/>
                    <w:right w:val="single" w:color="auto" w:sz="4" w:space="0"/>
                  </w:tcBorders>
                  <w:vAlign w:val="center"/>
                </w:tcPr>
                <w:p>
                  <w:pPr>
                    <w:spacing/>
                    <w:jc w:val="center"/>
                    <w:rPr>
                      <w:rFonts w:asciiTheme="majorHAnsi" w:hAnsiTheme="majorHAnsi" w:cstheme="majorHAnsi"/>
                      <w:sz w:val="20"/>
                    </w:rPr>
                  </w:pPr>
                  <w:r>
                    <w:rPr>
                      <w:rFonts w:asciiTheme="majorHAnsi" w:hAnsiTheme="majorHAnsi" w:cstheme="majorHAnsi"/>
                      <w:sz w:val="20"/>
                    </w:rPr>
                    <w:t xml:space="preserve">4</w:t>
                  </w:r>
                </w:p>
              </w:tc>
            </w:tr>
          </w:tbl>
          <w:p>
            <w:pPr>
              <w:spacing/>
              <w:rPr>
                <w:rFonts w:asciiTheme="majorHAnsi" w:hAnsiTheme="majorHAnsi" w:cstheme="majorHAnsi"/>
                <w:bCs/>
                <w:sz w:val="20"/>
              </w:rPr>
            </w:pPr>
          </w:p>
        </w:tc>
      </w:tr>
    </w:tbl>
    <w:p w14:paraId="2F936820">
      <w:pPr>
        <w:spacing/>
        <w:rPr>
          <w:rFonts w:asciiTheme="majorHAnsi" w:hAnsiTheme="majorHAnsi" w:cstheme="majorHAnsi"/>
        </w:rPr>
      </w:pPr>
    </w:p>
    <w:p w14:paraId="450E6F90">
      <w:pPr>
        <w:spacing/>
        <w:rPr>
          <w:rFonts w:asciiTheme="majorHAnsi" w:hAnsiTheme="majorHAnsi" w:cstheme="majorHAnsi"/>
        </w:rPr>
      </w:pPr>
    </w:p>
    <w:p w14:paraId="55DABC48">
      <w:pPr>
        <w:spacing/>
        <w:rPr>
          <w:rFonts w:asciiTheme="majorHAnsi" w:hAnsiTheme="majorHAnsi" w:cstheme="majorHAnsi"/>
        </w:rPr>
      </w:pPr>
    </w:p>
    <w:p w14:paraId="4375EF3F">
      <w:pPr>
        <w:spacing/>
        <w:rPr>
          <w:rFonts w:asciiTheme="majorHAnsi" w:hAnsiTheme="majorHAnsi" w:cstheme="majorHAnsi"/>
        </w:rPr>
      </w:pPr>
    </w:p>
    <w:sectPr>
      <w:type w:val="nextPage"/>
      <w:pgSz w:w="11906" w:h="16838"/>
      <w:pgMar w:top="720" w:right="720" w:bottom="720" w:left="720" w:header="56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238"/>
    <w:family w:val="roman"/>
    <w:pitch w:val="variable"/>
    <w:sig w:usb0="E0002EFF" w:usb1="C0007843" w:usb2="00000009" w:usb3="00000000" w:csb0="000001FF" w:csb1="00000000"/>
  </w:font>
  <w:font w:name="Courier New">
    <w:charset w:val="238"/>
    <w:family w:val="modern"/>
    <w:pitch w:val="fixed"/>
    <w:sig w:usb0="E0002AFF" w:usb1="C0007843" w:usb2="00000009" w:usb3="00000000" w:csb0="000001FF" w:csb1="00000000"/>
  </w:font>
  <w:font w:name="Wingdings">
    <w:charset w:val="2"/>
    <w:family w:val="auto"/>
    <w:pitch w:val="variable"/>
    <w:sig w:usb0="00000000" w:usb1="10000000" w:usb2="00000000" w:usb3="00000000" w:csb0="80000000" w:csb1="00000000"/>
  </w:font>
  <w:font w:name="Calibri">
    <w:charset w:val="238"/>
    <w:family w:val="swiss"/>
    <w:pitch w:val="variable"/>
    <w:sig w:usb0="E00002FF" w:usb1="4000ACFF" w:usb2="00000001" w:usb3="00000000" w:csb0="0000019F" w:csb1="00000000"/>
  </w:font>
  <w:font w:name="Arial">
    <w:charset w:val="238"/>
    <w:family w:val="swiss"/>
    <w:pitch w:val="variable"/>
    <w:sig w:usb0="E0002AFF" w:usb1="C0007843" w:usb2="00000009" w:usb3="00000000" w:csb0="000001FF" w:csb1="00000000"/>
  </w:font>
  <w:font w:name="Calibri Light">
    <w:charset w:val="238"/>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F50"/>
    <w:lvl w:ilvl="0">
      <w:start w:val="1"/>
      <w:numFmt w:val="bullet"/>
      <w:suff w:val="tab"/>
      <w:lvlText w:val=""/>
      <w:pPr>
        <w:tabs>
          <w:tab w:val="num" w:pos="780"/>
        </w:tabs>
        <w:spacing/>
        <w:ind w:left="780" w:hanging="360"/>
      </w:pPr>
      <w:rPr>
        <w:rFonts w:ascii="Symbol" w:hAnsi="Symbol" w:hint="default"/>
      </w:rPr>
    </w:lvl>
    <w:lvl w:ilvl="1">
      <w:start w:val="1"/>
      <w:numFmt w:val="bullet"/>
      <w:suff w:val="tab"/>
      <w:lvlText w:val="o"/>
      <w:pPr>
        <w:tabs>
          <w:tab w:val="num" w:pos="1500"/>
        </w:tabs>
        <w:spacing/>
        <w:ind w:left="1500" w:hanging="360"/>
      </w:pPr>
      <w:rPr>
        <w:rFonts w:ascii="Courier New" w:hAnsi="Courier New" w:hint="default"/>
      </w:rPr>
    </w:lvl>
    <w:lvl w:ilvl="2">
      <w:start w:val="1"/>
      <w:numFmt w:val="bullet"/>
      <w:suff w:val="tab"/>
      <w:lvlText w:val=""/>
      <w:pPr>
        <w:tabs>
          <w:tab w:val="num" w:pos="2220"/>
        </w:tabs>
        <w:spacing/>
        <w:ind w:left="2220" w:hanging="360"/>
      </w:pPr>
      <w:rPr>
        <w:rFonts w:ascii="Wingdings" w:hAnsi="Wingdings" w:hint="default"/>
      </w:rPr>
    </w:lvl>
    <w:lvl w:ilvl="3">
      <w:start w:val="1"/>
      <w:numFmt w:val="bullet"/>
      <w:suff w:val="tab"/>
      <w:lvlText w:val=""/>
      <w:pPr>
        <w:tabs>
          <w:tab w:val="num" w:pos="2940"/>
        </w:tabs>
        <w:spacing/>
        <w:ind w:left="2940" w:hanging="360"/>
      </w:pPr>
      <w:rPr>
        <w:rFonts w:ascii="Symbol" w:hAnsi="Symbol" w:hint="default"/>
      </w:rPr>
    </w:lvl>
    <w:lvl w:ilvl="4">
      <w:start w:val="1"/>
      <w:numFmt w:val="bullet"/>
      <w:suff w:val="tab"/>
      <w:lvlText w:val="o"/>
      <w:pPr>
        <w:tabs>
          <w:tab w:val="num" w:pos="3660"/>
        </w:tabs>
        <w:spacing/>
        <w:ind w:left="3660" w:hanging="360"/>
      </w:pPr>
      <w:rPr>
        <w:rFonts w:ascii="Courier New" w:hAnsi="Courier New" w:hint="default"/>
      </w:rPr>
    </w:lvl>
    <w:lvl w:ilvl="5">
      <w:start w:val="1"/>
      <w:numFmt w:val="bullet"/>
      <w:suff w:val="tab"/>
      <w:lvlText w:val=""/>
      <w:pPr>
        <w:tabs>
          <w:tab w:val="num" w:pos="4380"/>
        </w:tabs>
        <w:spacing/>
        <w:ind w:left="4380" w:hanging="360"/>
      </w:pPr>
      <w:rPr>
        <w:rFonts w:ascii="Wingdings" w:hAnsi="Wingdings" w:hint="default"/>
      </w:rPr>
    </w:lvl>
    <w:lvl w:ilvl="6">
      <w:start w:val="1"/>
      <w:numFmt w:val="bullet"/>
      <w:suff w:val="tab"/>
      <w:lvlText w:val=""/>
      <w:pPr>
        <w:tabs>
          <w:tab w:val="num" w:pos="5100"/>
        </w:tabs>
        <w:spacing/>
        <w:ind w:left="5100" w:hanging="360"/>
      </w:pPr>
      <w:rPr>
        <w:rFonts w:ascii="Symbol" w:hAnsi="Symbol" w:hint="default"/>
      </w:rPr>
    </w:lvl>
    <w:lvl w:ilvl="7">
      <w:start w:val="1"/>
      <w:numFmt w:val="bullet"/>
      <w:suff w:val="tab"/>
      <w:lvlText w:val="o"/>
      <w:pPr>
        <w:tabs>
          <w:tab w:val="num" w:pos="5820"/>
        </w:tabs>
        <w:spacing/>
        <w:ind w:left="5820" w:hanging="360"/>
      </w:pPr>
      <w:rPr>
        <w:rFonts w:ascii="Courier New" w:hAnsi="Courier New" w:hint="default"/>
      </w:rPr>
    </w:lvl>
    <w:lvl w:ilvl="8">
      <w:start w:val="1"/>
      <w:numFmt w:val="bullet"/>
      <w:suff w:val="tab"/>
      <w:lvlText w:val=""/>
      <w:pPr>
        <w:tabs>
          <w:tab w:val="num" w:pos="6540"/>
        </w:tabs>
        <w:spacing/>
        <w:ind w:left="6540" w:hanging="360"/>
      </w:pPr>
      <w:rPr>
        <w:rFonts w:ascii="Wingdings" w:hAnsi="Wingdings" w:hint="default"/>
      </w:rPr>
    </w:lvl>
  </w:abstractNum>
  <w:abstractNum w:abstractNumId="1">
    <w:nsid w:val="20B91566"/>
    <w:lvl w:ilvl="0">
      <w:start w:val="1"/>
      <w:numFmt w:val="upperRoman"/>
      <w:suff w:val="tab"/>
      <w:lvlText w:val="%1."/>
      <w:pPr>
        <w:spacing/>
        <w:ind w:left="1080" w:hanging="72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2C265D7A"/>
    <w:lvl w:ilvl="0">
      <w:start w:val="1"/>
      <w:numFmt w:val="bullet"/>
      <w:suff w:val="tab"/>
      <w:lvlText w:val="-"/>
      <w:pPr>
        <w:spacing/>
        <w:ind w:left="720" w:hanging="360"/>
      </w:pPr>
      <w:rPr>
        <w:rFonts w:ascii="Times New Roman" w:hAnsi="Times New Roman" w:eastAsia="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3A68726A"/>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3B1A257B"/>
    <w:lvl w:ilvl="0">
      <w:start w:val="1"/>
      <w:numFmt w:val="upperRoman"/>
      <w:suff w:val="tab"/>
      <w:lvlText w:val="%1."/>
      <w:pPr>
        <w:spacing/>
        <w:ind w:left="1080" w:hanging="72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4BE67E0F"/>
    <w:lvl w:ilvl="0">
      <w:start w:val="1"/>
      <w:numFmt w:val="upperRoman"/>
      <w:suff w:val="tab"/>
      <w:lvlText w:val="%1."/>
      <w:pPr>
        <w:spacing/>
        <w:ind w:left="1080" w:hanging="72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51585D1E"/>
    <w:lvl w:ilvl="0">
      <w:start w:val="1"/>
      <w:numFmt w:val="lowerRoman"/>
      <w:suff w:val="tab"/>
      <w:lvlText w:val="%1."/>
      <w:pPr>
        <w:spacing/>
        <w:ind w:left="1080" w:hanging="72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67823F3C"/>
    <w:lvl w:ilvl="0">
      <w:start w:val="1"/>
      <w:numFmt w:val="decimal"/>
      <w:suff w:val="tab"/>
      <w:lvlText w:val="%1."/>
      <w:pPr>
        <w:tabs>
          <w:tab w:val="num" w:pos="644"/>
        </w:tabs>
        <w:spacing/>
        <w:ind w:left="644" w:hanging="360"/>
      </w:pPr>
      <w:rPr>
        <w:rFonts w:cs="Times New Roman"/>
      </w:rPr>
    </w:lvl>
    <w:lvl w:ilvl="1">
      <w:start w:val="1"/>
      <w:numFmt w:val="lowerLetter"/>
      <w:suff w:val="tab"/>
      <w:lvlText w:val="%2."/>
      <w:pPr>
        <w:tabs>
          <w:tab w:val="num" w:pos="1440"/>
        </w:tabs>
        <w:spacing/>
        <w:ind w:left="1440" w:hanging="360"/>
      </w:pPr>
      <w:rPr>
        <w:rFonts w:cs="Times New Roman"/>
      </w:rPr>
    </w:lvl>
    <w:lvl w:ilvl="2">
      <w:start w:val="1"/>
      <w:numFmt w:val="lowerRoman"/>
      <w:suff w:val="tab"/>
      <w:lvlText w:val="%3."/>
      <w:lvlJc w:val="right"/>
      <w:pPr>
        <w:tabs>
          <w:tab w:val="num" w:pos="2160"/>
        </w:tabs>
        <w:spacing/>
        <w:ind w:left="2160" w:hanging="180"/>
      </w:pPr>
      <w:rPr>
        <w:rFonts w:cs="Times New Roman"/>
      </w:rPr>
    </w:lvl>
    <w:lvl w:ilvl="3">
      <w:start w:val="1"/>
      <w:numFmt w:val="decimal"/>
      <w:suff w:val="tab"/>
      <w:lvlText w:val="%4."/>
      <w:pPr>
        <w:tabs>
          <w:tab w:val="num" w:pos="2880"/>
        </w:tabs>
        <w:spacing/>
        <w:ind w:left="2880" w:hanging="360"/>
      </w:pPr>
      <w:rPr>
        <w:rFonts w:cs="Times New Roman"/>
      </w:rPr>
    </w:lvl>
    <w:lvl w:ilvl="4">
      <w:start w:val="1"/>
      <w:numFmt w:val="lowerLetter"/>
      <w:suff w:val="tab"/>
      <w:lvlText w:val="%5."/>
      <w:pPr>
        <w:tabs>
          <w:tab w:val="num" w:pos="3600"/>
        </w:tabs>
        <w:spacing/>
        <w:ind w:left="3600" w:hanging="360"/>
      </w:pPr>
      <w:rPr>
        <w:rFonts w:cs="Times New Roman"/>
      </w:rPr>
    </w:lvl>
    <w:lvl w:ilvl="5">
      <w:start w:val="1"/>
      <w:numFmt w:val="lowerRoman"/>
      <w:suff w:val="tab"/>
      <w:lvlText w:val="%6."/>
      <w:lvlJc w:val="right"/>
      <w:pPr>
        <w:tabs>
          <w:tab w:val="num" w:pos="4320"/>
        </w:tabs>
        <w:spacing/>
        <w:ind w:left="4320" w:hanging="180"/>
      </w:pPr>
      <w:rPr>
        <w:rFonts w:cs="Times New Roman"/>
      </w:rPr>
    </w:lvl>
    <w:lvl w:ilvl="6">
      <w:start w:val="1"/>
      <w:numFmt w:val="decimal"/>
      <w:suff w:val="tab"/>
      <w:lvlText w:val="%7."/>
      <w:pPr>
        <w:tabs>
          <w:tab w:val="num" w:pos="5040"/>
        </w:tabs>
        <w:spacing/>
        <w:ind w:left="5040" w:hanging="360"/>
      </w:pPr>
      <w:rPr>
        <w:rFonts w:cs="Times New Roman"/>
      </w:rPr>
    </w:lvl>
    <w:lvl w:ilvl="7">
      <w:start w:val="1"/>
      <w:numFmt w:val="lowerLetter"/>
      <w:suff w:val="tab"/>
      <w:lvlText w:val="%8."/>
      <w:pPr>
        <w:tabs>
          <w:tab w:val="num" w:pos="5760"/>
        </w:tabs>
        <w:spacing/>
        <w:ind w:left="5760" w:hanging="360"/>
      </w:pPr>
      <w:rPr>
        <w:rFonts w:cs="Times New Roman"/>
      </w:rPr>
    </w:lvl>
    <w:lvl w:ilvl="8">
      <w:start w:val="1"/>
      <w:numFmt w:val="lowerRoman"/>
      <w:suff w:val="tab"/>
      <w:lvlText w:val="%9."/>
      <w:lvlJc w:val="right"/>
      <w:pPr>
        <w:tabs>
          <w:tab w:val="num" w:pos="6480"/>
        </w:tabs>
        <w:spacing/>
        <w:ind w:left="6480" w:hanging="180"/>
      </w:pPr>
      <w:rPr>
        <w:rFonts w:cs="Times New Roman"/>
      </w:rPr>
    </w:lvl>
  </w:abstractNum>
  <w:abstractNum w:abstractNumId="8">
    <w:nsid w:val="6B6E3798"/>
    <w:lvl w:ilvl="0">
      <w:start w:val="1"/>
      <w:numFmt w:val="upperRoman"/>
      <w:suff w:val="tab"/>
      <w:lvlText w:val="%1-"/>
      <w:pPr>
        <w:spacing/>
        <w:ind w:left="1080" w:hanging="72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pPr>
    <w:rPr/>
  </w:style>
  <w:style w:type="paragraph" w:styleId="Heading1">
    <w:name w:val="Heading 1"/>
    <w:basedOn w:val="Normal"/>
    <w:next w:val="Normal"/>
    <w:link w:val="Heading1Char"/>
    <w:qFormat/>
    <w:pPr>
      <w:keepNext/>
      <w:spacing w:after="0" w:line="240" w:lineRule="auto"/>
      <w:jc w:val="both"/>
      <w:outlineLvl w:val="0"/>
    </w:pPr>
    <w:rPr>
      <w:rFonts w:ascii="Times New Roman" w:hAnsi="Times New Roman" w:eastAsia="Times New Roman" w:cs="Times New Roman"/>
      <w:i/>
      <w:iCs/>
      <w:sz w:val="20"/>
      <w:szCs w:val="20"/>
      <w:u w:val="single"/>
    </w:rPr>
  </w:style>
  <w:style w:type="paragraph" w:styleId="Heading7">
    <w:name w:val="Heading 7"/>
    <w:basedOn w:val="Normal"/>
    <w:next w:val="Normal"/>
    <w:link w:val="Heading7Char"/>
    <w:qFormat/>
    <w:pPr>
      <w:keepNext/>
      <w:spacing w:after="0" w:line="240" w:lineRule="auto"/>
      <w:jc w:val="center"/>
      <w:outlineLvl w:val="6"/>
    </w:pPr>
    <w:rPr>
      <w:rFonts w:ascii="Arial" w:hAnsi="Arial" w:eastAsia="Times New Roman" w:cs="Arial"/>
      <w:b/>
      <w:bCs/>
      <w:sz w:val="18"/>
      <w:szCs w:val="20"/>
      <w:lang w:eastAsia="hr-H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536"/>
        <w:tab w:val="right" w:pos="9072"/>
      </w:tabs>
      <w:spacing w:after="0" w:line="240" w:lineRule="auto"/>
    </w:pPr>
    <w:rPr/>
  </w:style>
  <w:style w:type="character" w:styleId="FooterChar" w:customStyle="1">
    <w:name w:val="Footer Char"/>
    <w:basedOn w:val="DefaultParagraphFont"/>
    <w:link w:val="Footer"/>
    <w:uiPriority w:val="99"/>
    <w:rPr/>
  </w:style>
  <w:style w:type="character" w:styleId="Hyperlink">
    <w:name w:val="Hyperlink"/>
    <w:basedOn w:val="DefaultParagraphFont"/>
    <w:uiPriority w:val="99"/>
    <w:unhideWhenUsed/>
    <w:rPr>
      <w:color w:val="0563C1"/>
      <w:u w:val="single"/>
    </w:rPr>
  </w:style>
  <w:style w:type="character" w:styleId="PageNumber">
    <w:name w:val="Page Number"/>
    <w:basedOn w:val="DefaultParagraphFont"/>
    <w:rPr>
      <w:rFonts w:cs="Times New Roman"/>
    </w:rPr>
  </w:style>
  <w:style w:type="character" w:styleId="Heading1Char" w:customStyle="1">
    <w:name w:val="Heading 1 Char"/>
    <w:basedOn w:val="DefaultParagraphFont"/>
    <w:link w:val="Heading1"/>
    <w:rPr>
      <w:rFonts w:ascii="Times New Roman" w:hAnsi="Times New Roman" w:eastAsia="Times New Roman" w:cs="Times New Roman"/>
      <w:i/>
      <w:iCs/>
      <w:sz w:val="20"/>
      <w:szCs w:val="20"/>
      <w:u w:val="single"/>
    </w:rPr>
  </w:style>
  <w:style w:type="character" w:styleId="Heading7Char" w:customStyle="1">
    <w:name w:val="Heading 7 Char"/>
    <w:basedOn w:val="DefaultParagraphFont"/>
    <w:link w:val="Heading7"/>
    <w:rPr>
      <w:rFonts w:ascii="Arial" w:hAnsi="Arial" w:eastAsia="Times New Roman" w:cs="Arial"/>
      <w:b/>
      <w:bCs/>
      <w:sz w:val="18"/>
      <w:szCs w:val="20"/>
      <w:lang w:eastAsia="hr-HR"/>
    </w:rPr>
  </w:style>
  <w:style w:type="paragraph" w:styleId="ListParagraph">
    <w:name w:val="List Paragraph"/>
    <w:basedOn w:val="Normal"/>
    <w:uiPriority w:val="34"/>
    <w:qFormat/>
    <w:pPr>
      <w:spacing/>
      <w:ind w:left="720"/>
      <w:contextualSpacing/>
    </w:pPr>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customStyle="1">
    <w:name w:val="A4"/>
    <w:basedOn w:val="DefaultParagraphFont"/>
    <w:uiPriority w:val="99"/>
    <w:rPr>
      <w:color w:val="000000"/>
      <w:sz w:val="26"/>
      <w:szCs w:val="26"/>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3.png" /><Relationship Id="rId3"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3866</Words>
  <Characters>22039</Characters>
  <Application>Microsoft Office Word</Application>
  <DocSecurity>0</DocSecurity>
  <Lines>183</Lines>
  <Paragraphs>51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barba</dc:creator>
  <cp:keywords/>
  <dc:description/>
  <cp:lastModifiedBy>Đurđica</cp:lastModifiedBy>
  <cp:revision>2</cp:revision>
  <dcterms:created xsi:type="dcterms:W3CDTF">2023-10-30T08:43:00Z</dcterms:created>
  <dcterms:modified xsi:type="dcterms:W3CDTF">2023-10-30T08:43:00Z</dcterms:modified>
</cp:coreProperties>
</file>